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spacing w:beforeLines="0" w:after="0" w:afterLines="0" w:line="240" w:lineRule="auto"/>
        <w:ind w:right="2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_Hlk145670493"/>
      <w:r>
        <w:rPr>
          <w:rFonts w:ascii="Arial" w:hAnsi="Arial" w:cs="Arial"/>
          <w:b/>
          <w:bCs/>
          <w:sz w:val="22"/>
          <w:szCs w:val="22"/>
        </w:rPr>
        <w:t>3GPP TSG RAN WG1 #12</w:t>
      </w:r>
      <w:r>
        <w:rPr>
          <w:rFonts w:hint="eastAsia" w:ascii="Arial" w:hAnsi="Arial" w:eastAsia="等线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R1-260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0979</w:t>
      </w:r>
      <w:bookmarkStart w:id="11" w:name="_GoBack"/>
      <w:bookmarkEnd w:id="11"/>
    </w:p>
    <w:p>
      <w:pPr>
        <w:tabs>
          <w:tab w:val="center" w:pos="4536"/>
          <w:tab w:val="right" w:pos="9072"/>
        </w:tabs>
        <w:spacing w:beforeLines="0" w:after="0" w:afterLines="0" w:line="240" w:lineRule="auto"/>
        <w:rPr>
          <w:rFonts w:ascii="Arial" w:hAnsi="Arial" w:eastAsia="等线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Gothenburg, SE</w:t>
      </w:r>
      <w:r>
        <w:rPr>
          <w:rFonts w:hint="eastAsia" w:ascii="Arial" w:hAnsi="Arial" w:eastAsia="等线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Feb. 9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~ 13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>, 202</w:t>
      </w:r>
      <w:r>
        <w:rPr>
          <w:rFonts w:hint="eastAsia" w:ascii="Arial" w:hAnsi="Arial" w:eastAsia="等线" w:cs="Arial"/>
          <w:b/>
          <w:bCs/>
          <w:sz w:val="22"/>
          <w:szCs w:val="22"/>
        </w:rPr>
        <w:t>6</w:t>
      </w:r>
    </w:p>
    <w:bookmarkEnd w:id="0"/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ZTE Corporation, Sanechips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Discussion on </w:t>
      </w:r>
      <w:r>
        <w:rPr>
          <w:rFonts w:hint="eastAsia" w:ascii="Arial" w:hAnsi="Arial" w:cs="Arial"/>
          <w:b/>
          <w:lang w:val="en-US" w:eastAsia="zh-CN"/>
        </w:rPr>
        <w:t xml:space="preserve">RAN4 </w:t>
      </w:r>
      <w:r>
        <w:rPr>
          <w:rFonts w:hint="eastAsia" w:ascii="Arial" w:hAnsi="Arial" w:cs="Arial"/>
          <w:b/>
        </w:rPr>
        <w:t xml:space="preserve">LS </w:t>
      </w:r>
      <w:r>
        <w:rPr>
          <w:rFonts w:hint="eastAsia" w:ascii="Arial" w:hAnsi="Arial" w:cs="Arial"/>
          <w:b/>
          <w:lang w:val="en-US" w:eastAsia="zh-CN"/>
        </w:rPr>
        <w:t>on 1Tx-1Tx UL switching for 1Tx UE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5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>
      <w:pPr>
        <w:pStyle w:val="4"/>
        <w:pBdr>
          <w:top w:val="single" w:color="auto" w:sz="12" w:space="0"/>
        </w:pBdr>
      </w:pPr>
      <w:r>
        <w:t>Introduction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 LS R1-2600015/</w:t>
      </w:r>
      <w:r>
        <w:rPr>
          <w:rFonts w:hint="eastAsia"/>
          <w:lang w:val="en-US" w:eastAsia="en-US"/>
        </w:rPr>
        <w:t>R4-25</w:t>
      </w:r>
      <w:r>
        <w:rPr>
          <w:rFonts w:hint="eastAsia"/>
          <w:lang w:val="en-US" w:eastAsia="zh-CN"/>
        </w:rPr>
        <w:t xml:space="preserve">22413 from RAN4, </w:t>
      </w:r>
      <w:r>
        <w:rPr>
          <w:lang w:eastAsia="zh-CN"/>
        </w:rPr>
        <w:t xml:space="preserve">RAN4 asked RAN2 </w:t>
      </w:r>
      <w:r>
        <w:rPr>
          <w:rFonts w:hint="eastAsia"/>
          <w:lang w:val="en-US" w:eastAsia="zh-CN"/>
        </w:rPr>
        <w:t xml:space="preserve">to allow 1Tx UE </w:t>
      </w:r>
      <w:r>
        <w:rPr>
          <w:lang w:eastAsia="zh-CN"/>
        </w:rPr>
        <w:t xml:space="preserve">to support non-zero switching period </w:t>
      </w:r>
      <w:r>
        <w:rPr>
          <w:rFonts w:hint="eastAsia"/>
          <w:lang w:val="en-US" w:eastAsia="zh-CN"/>
        </w:rPr>
        <w:t>of 1Tx-1Tx switching for NR inter-band UL CA and SUL band combinations</w:t>
      </w:r>
      <w:r>
        <w:rPr>
          <w:lang w:eastAsia="zh-CN"/>
        </w:rPr>
        <w:t xml:space="preserve"> from Rel-1</w:t>
      </w:r>
      <w:r>
        <w:rPr>
          <w:rFonts w:hint="eastAsia"/>
          <w:lang w:val="en-US" w:eastAsia="zh-CN"/>
        </w:rPr>
        <w:t>6.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bidi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Overall description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When SUL was introduced, it was assumed that SUL+NUL band combinations are supported by UE with 2Tx. However, there are many UEs on the market that only support 1Tx chain.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RAN4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has therefore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discussed the RF requirements to allow 1Tx UE to support 1Tx-1Tx switching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for NR inter-band UL CA and SUL band combinations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from the releases earlier than release 18. RAN4 would like to enable this optional feature from Rel-16.</w:t>
            </w:r>
          </w:p>
          <w:p>
            <w:pPr>
              <w:ind w:firstLine="72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RAN4 agrees that non-zero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1Tx-1Tx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switching is supported for NR inter-band UL CA and SUL band combinations.</w:t>
            </w:r>
          </w:p>
          <w:p>
            <w:pPr>
              <w:ind w:firstLine="72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- The switching period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values are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: {35us, 140us, 210us}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>
            <w:pP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RAN4 is kindly asking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RAN2 to introduce this feature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as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early implement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ation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from Rel-16 if possible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by reusing current signalling as preferred, otherwise, it depends on RAN2 to decide how this feature can be supported in early release from signalling perspective. </w:t>
            </w:r>
          </w:p>
          <w:p>
            <w:pPr>
              <w:bidi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Actions</w:t>
            </w:r>
          </w:p>
          <w:p>
            <w:pPr>
              <w:spacing w:after="120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To RAN2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: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RAN4 respectfully ask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RAN2 to introduce this feature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as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early implement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ation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from Rel-16 if possible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Based on the RAN1 chair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Highlights from RAN#110, RAN1 discussion is needed according to the RAN4 LS.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pStyle w:val="2"/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vertAlign w:val="baseline"/>
                <w:lang w:val="en-US" w:eastAsia="zh-CN"/>
              </w:rPr>
              <w:t>Conclusion for SUL/NUL switch discussed by RP-253611 and RP-253368 according to LS R4-2522413 (to RAN2, cc RAN1)</w:t>
            </w:r>
          </w:p>
          <w:p>
            <w:pPr>
              <w:pStyle w:val="35"/>
              <w:numPr>
                <w:ilvl w:val="3"/>
                <w:numId w:val="13"/>
              </w:numPr>
              <w:ind w:left="360"/>
              <w:contextualSpacing w:val="0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 w:eastAsia="zh-CN"/>
              </w:rPr>
              <w:t>RAN tasks RAN1/RAN2 to check and report back to RAN #111</w:t>
            </w:r>
          </w:p>
          <w:p>
            <w:pPr>
              <w:pStyle w:val="35"/>
              <w:numPr>
                <w:ilvl w:val="4"/>
                <w:numId w:val="13"/>
              </w:numPr>
              <w:ind w:left="780" w:leftChars="0"/>
              <w:contextualSpacing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 w:eastAsia="zh-CN"/>
              </w:rPr>
              <w:t>Confirmed in RANP: RAN1 discussion needed though only cc-ed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color w:val="auto"/>
          <w:lang w:val="en-US" w:eastAsia="zh-CN"/>
        </w:rPr>
      </w:pPr>
      <w:r>
        <w:t xml:space="preserve">In this contribution, we provide our analysis </w:t>
      </w:r>
      <w:r>
        <w:rPr>
          <w:rFonts w:hint="eastAsia"/>
          <w:lang w:val="en-US" w:eastAsia="zh-CN"/>
        </w:rPr>
        <w:t xml:space="preserve">on the potential RAN1 </w:t>
      </w:r>
      <w:r>
        <w:rPr>
          <w:rFonts w:hint="eastAsia"/>
          <w:color w:val="auto"/>
          <w:lang w:val="en-US" w:eastAsia="zh-CN"/>
        </w:rPr>
        <w:t>impact based on the RAN4 LS</w:t>
      </w:r>
      <w:r>
        <w:rPr>
          <w:color w:val="auto"/>
        </w:rPr>
        <w:t>.</w:t>
      </w:r>
    </w:p>
    <w:p>
      <w:pPr>
        <w:pStyle w:val="4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Discussion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lang w:eastAsia="zh-CN"/>
        </w:rPr>
      </w:pPr>
      <w:r>
        <w:rPr>
          <w:lang w:eastAsia="zh-CN"/>
        </w:rPr>
        <w:t>UL Tx switching function has been supported since Rel-16 and further enhanced in Rel-17, Rel-18 and Rel-19. The supported scenarios are summarized below</w:t>
      </w:r>
      <w:r>
        <w:rPr>
          <w:rFonts w:hint="eastAsia"/>
          <w:lang w:eastAsia="zh-CN"/>
        </w:rPr>
        <w:t>:</w:t>
      </w:r>
    </w:p>
    <w:p>
      <w:pPr>
        <w:pStyle w:val="35"/>
        <w:numPr>
          <w:ilvl w:val="3"/>
          <w:numId w:val="13"/>
        </w:numPr>
        <w:ind w:left="360"/>
        <w:contextualSpacing w:val="0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R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el-16: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1Tx-2Tx UL Tx switching between 2 bands for NUL-SUL, Inter-band CA and 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(N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G)EN-DC;</w:t>
      </w:r>
    </w:p>
    <w:p>
      <w:pPr>
        <w:pStyle w:val="35"/>
        <w:numPr>
          <w:ilvl w:val="3"/>
          <w:numId w:val="13"/>
        </w:numPr>
        <w:ind w:left="360"/>
        <w:contextualSpacing w:val="0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R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el-17: 2Tx-2Tx UL Tx switching between 2 bands for NUL-SUL, Inter-band CA;</w:t>
      </w:r>
    </w:p>
    <w:p>
      <w:pPr>
        <w:pStyle w:val="35"/>
        <w:numPr>
          <w:ilvl w:val="3"/>
          <w:numId w:val="13"/>
        </w:numPr>
        <w:ind w:left="360"/>
        <w:contextualSpacing w:val="0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Rel-18: UL Tx switching among 3 or 4 bands (including 1Tx-1Tx, 1Tx-2Tx, 2Tx-2Tx)</w:t>
      </w:r>
      <w:r>
        <w:rPr>
          <w:rFonts w:hint="eastAsia" w:cs="Times New Roman"/>
          <w:bCs/>
          <w:sz w:val="20"/>
          <w:szCs w:val="20"/>
          <w:lang w:val="en-US" w:eastAsia="zh-CN"/>
        </w:rPr>
        <w:t>;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1Tx-1Tx UL switching between 2 bands;</w:t>
      </w:r>
    </w:p>
    <w:p>
      <w:pPr>
        <w:pStyle w:val="35"/>
        <w:numPr>
          <w:ilvl w:val="3"/>
          <w:numId w:val="13"/>
        </w:numPr>
        <w:ind w:left="360"/>
        <w:contextualSpacing w:val="0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R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el-19: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UL Tx switching for 3Tx UE between 2 bands</w:t>
      </w:r>
      <w:r>
        <w:rPr>
          <w:rFonts w:hint="eastAsia" w:cs="Times New Roman"/>
          <w:bCs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lang w:eastAsia="zh-CN"/>
        </w:rPr>
      </w:pPr>
      <w:r>
        <w:rPr>
          <w:lang w:eastAsia="zh-CN"/>
        </w:rPr>
        <w:t xml:space="preserve">The case that RAN4 is asking is related to the “1Tx-1Tx UL switching” scenario introduced in Rel-18.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According to the RAN1 spec from Rel-16, up to 2-port transmission could be supported by a 2Tx UE, and 1-port transmission could also be supported by 1Tx UE. For SUL, the UL switching is defined regardless of the transmission with 1-port or 2-port.  That is, the UL switching conditions with </w:t>
      </w:r>
      <w:r>
        <w:rPr>
          <w:rFonts w:hint="eastAsia"/>
          <w:highlight w:val="cyan"/>
          <w:lang w:val="en-US" w:eastAsia="zh-CN"/>
        </w:rPr>
        <w:t>highlighted in cyan</w:t>
      </w:r>
      <w:r>
        <w:rPr>
          <w:rFonts w:hint="eastAsia"/>
          <w:lang w:val="en-US" w:eastAsia="zh-CN"/>
        </w:rPr>
        <w:t xml:space="preserve"> could cover 1Tx-1Tx UL switching with </w:t>
      </w:r>
      <w:r>
        <w:rPr>
          <w:lang w:eastAsia="zh-CN"/>
        </w:rPr>
        <w:t>non-zero switching period</w:t>
      </w:r>
      <w:r>
        <w:rPr>
          <w:rFonts w:hint="eastAsia"/>
          <w:lang w:val="en-US" w:eastAsia="zh-CN"/>
        </w:rPr>
        <w:t xml:space="preserve">.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bookmarkStart w:id="1" w:name="_Toc169605002"/>
            <w:bookmarkStart w:id="2" w:name="_Toc45810629"/>
            <w:r>
              <w:rPr>
                <w:rFonts w:hint="eastAsia"/>
                <w:lang w:val="en-US" w:eastAsia="zh-CN"/>
              </w:rPr>
              <w:t xml:space="preserve">TS38.214-gh0 </w:t>
            </w:r>
          </w:p>
          <w:p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6.1.6.2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 xml:space="preserve">Uplink switching for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arrier </w:t>
            </w:r>
            <w:r>
              <w:rPr>
                <w:color w:val="000000"/>
                <w:lang w:val="en-US"/>
              </w:rPr>
              <w:t>a</w:t>
            </w:r>
            <w:r>
              <w:rPr>
                <w:color w:val="000000"/>
              </w:rPr>
              <w:t>ggregation</w:t>
            </w:r>
            <w:bookmarkEnd w:id="1"/>
            <w:bookmarkEnd w:id="2"/>
          </w:p>
          <w:p>
            <w:r>
              <w:t xml:space="preserve">For a UE </w:t>
            </w:r>
            <w:r>
              <w:rPr>
                <w:lang w:val="en-US"/>
              </w:rPr>
              <w:t xml:space="preserve">indicating a capability for uplink switching with </w:t>
            </w:r>
            <w:r>
              <w:rPr>
                <w:rFonts w:eastAsia="Times New Roman"/>
                <w:i/>
                <w:lang w:eastAsia="en-GB"/>
              </w:rPr>
              <w:t>BandCombination-UplinkTxSwitch</w:t>
            </w:r>
            <w:r>
              <w:rPr>
                <w:lang w:val="en-US"/>
              </w:rPr>
              <w:t xml:space="preserve"> for a band combination, and </w:t>
            </w:r>
            <w:r>
              <w:t>if it is for that band combination configured with uplink carrier aggregation:</w:t>
            </w:r>
          </w:p>
          <w:p>
            <w:pPr>
              <w:pStyle w:val="43"/>
            </w:pPr>
            <w:r>
              <w:t>-</w:t>
            </w:r>
            <w:r>
              <w:tab/>
            </w:r>
            <w:r>
              <w:t xml:space="preserve">If the UE is configured with uplink switching with parameter </w:t>
            </w:r>
            <w:r>
              <w:rPr>
                <w:i/>
                <w:iCs/>
              </w:rPr>
              <w:t>uplinkTxSwitching</w:t>
            </w:r>
            <w:r>
              <w:t xml:space="preserve">, when the UE is to transmit in the uplink based on DCI(s) received before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nor/>
                      <m:sty m:val="b"/>
                    </m:rPr>
                    <w:rPr>
                      <w:rFonts w:ascii="Cambria Math" w:hAnsi="Cambria Math"/>
                      <w:b/>
                    </w:rPr>
                    <m:t>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</m:sSub>
              <m:r>
                <m:rPr>
                  <m:sty m:val="b"/>
                </m:rPr>
                <w:rPr>
                  <w:rFonts w:ascii="Cambria Math" w:hAnsi="Cambria Math" w:cs="MS Gothic"/>
                  <w:lang w:eastAsia="zh-CN"/>
                </w:rPr>
                <m:t>−</m:t>
              </m:r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offset</m:t>
                  </m:r>
                  <m:ctrlPr>
                    <w:rPr>
                      <w:rFonts w:ascii="Cambria Math" w:hAnsi="Cambria Math"/>
                      <w:b/>
                    </w:rPr>
                  </m:ctrlPr>
                </m:sub>
              </m:sSub>
            </m:oMath>
            <w:r>
              <w:rPr>
                <w:b/>
              </w:rPr>
              <w:t xml:space="preserve"> </w:t>
            </w:r>
            <w:r>
              <w:t>or based on a higher layer configuration(s):</w:t>
            </w:r>
          </w:p>
          <w:p>
            <w:pPr>
              <w:pStyle w:val="44"/>
            </w:pPr>
            <w:r>
              <w:t>-</w:t>
            </w:r>
            <w:r>
              <w:tab/>
            </w:r>
            <w:r>
              <w:t xml:space="preserve">When the UE is to transmit a 2-port transmission on one uplink carrier and if the preceding uplink transmission is a 1-port transmission on another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Tx1-Tx2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on any of the two carriers.</w:t>
            </w:r>
          </w:p>
          <w:p>
            <w:pPr>
              <w:pStyle w:val="44"/>
            </w:pPr>
            <w:r>
              <w:t>-</w:t>
            </w:r>
            <w:r>
              <w:tab/>
            </w:r>
            <w:r>
              <w:t xml:space="preserve">When the UE is to transmit a 1-port transmission on one uplink carrier and if the preceding uplink transmission is a 2-port transmission on another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Tx1-Tx2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on any of the two carriers. </w:t>
            </w:r>
          </w:p>
          <w:p>
            <w:pPr>
              <w:pStyle w:val="44"/>
              <w:rPr>
                <w:highlight w:val="cyan"/>
              </w:rPr>
            </w:pPr>
            <w:r>
              <w:rPr>
                <w:highlight w:val="none"/>
              </w:rPr>
              <w:t>-</w:t>
            </w:r>
            <w:r>
              <w:rPr>
                <w:highlight w:val="none"/>
              </w:rPr>
              <w:tab/>
            </w:r>
            <w:r>
              <w:rPr>
                <w:highlight w:val="cyan"/>
              </w:rPr>
              <w:t xml:space="preserve">For the UE configured with </w:t>
            </w:r>
            <w:r>
              <w:rPr>
                <w:i/>
                <w:iCs/>
                <w:highlight w:val="cyan"/>
              </w:rPr>
              <w:t>uplinkTxSwitchingOption</w:t>
            </w:r>
            <w:r>
              <w:rPr>
                <w:i/>
                <w:iCs/>
                <w:highlight w:val="cyan"/>
                <w:lang w:val="en-US"/>
              </w:rPr>
              <w:t xml:space="preserve"> </w:t>
            </w:r>
            <w:r>
              <w:rPr>
                <w:highlight w:val="cyan"/>
                <w:lang w:val="en-US"/>
              </w:rPr>
              <w:t>set to '</w:t>
            </w:r>
            <w:r>
              <w:rPr>
                <w:rFonts w:eastAsia="Times New Roman"/>
                <w:iCs/>
                <w:highlight w:val="cyan"/>
                <w:lang w:eastAsia="en-GB"/>
              </w:rPr>
              <w:t>switchedUL</w:t>
            </w:r>
            <w:r>
              <w:rPr>
                <w:rFonts w:eastAsia="Times New Roman"/>
                <w:iCs/>
                <w:highlight w:val="cyan"/>
                <w:lang w:val="en-GB" w:eastAsia="en-GB"/>
              </w:rPr>
              <w:t>'</w:t>
            </w:r>
            <w:r>
              <w:rPr>
                <w:highlight w:val="cyan"/>
              </w:rPr>
              <w:t xml:space="preserve">, when the UE is to transmit a 1-port transmission on one uplink carrier and if the preceding uplink transmission was a 1-port transmission on another uplink carrier, then the UE is not expected to 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highlight w:val="cyan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highlight w:val="cyan"/>
                    </w:rPr>
                    <m:t>Tx1-Tx2</m:t>
                  </m: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ub>
              </m:sSub>
            </m:oMath>
            <w:r>
              <w:rPr>
                <w:highlight w:val="cyan"/>
              </w:rPr>
              <w:t xml:space="preserve"> on any of the two carriers.</w:t>
            </w:r>
          </w:p>
          <w:p>
            <w:pPr>
              <w:pStyle w:val="44"/>
            </w:pPr>
            <w:r>
              <w:t>-</w:t>
            </w:r>
            <w:r>
              <w:tab/>
            </w:r>
            <w:r>
              <w:t xml:space="preserve">For the UE configured with </w:t>
            </w:r>
            <w:r>
              <w:rPr>
                <w:i/>
                <w:iCs/>
              </w:rPr>
              <w:t>uplinkTxSwitchingOption</w:t>
            </w:r>
            <w:r>
              <w:rPr>
                <w:lang w:val="en-US"/>
              </w:rPr>
              <w:t xml:space="preserve"> set to </w:t>
            </w:r>
            <w:r>
              <w:rPr>
                <w:lang w:val="en-GB"/>
              </w:rPr>
              <w:t>'</w:t>
            </w:r>
            <w:r>
              <w:rPr>
                <w:rFonts w:eastAsia="Times New Roman"/>
                <w:iCs/>
                <w:lang w:eastAsia="en-GB"/>
              </w:rPr>
              <w:t>dualUL</w:t>
            </w:r>
            <w:r>
              <w:rPr>
                <w:rFonts w:eastAsia="Times New Roman"/>
                <w:iCs/>
                <w:lang w:val="en-US" w:eastAsia="en-GB"/>
              </w:rPr>
              <w:t>'</w:t>
            </w:r>
            <w:r>
              <w:t xml:space="preserve">, when the UE is to transmit a 2-port transmission on one uplink carrier and if the preceding uplink transmission was a 1-port transmission on the same uplink carrier and the UE is under the operation state in which 2-port transmission cannot be supported in the same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Tx1-Tx2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on any of the two carriers.</w:t>
            </w:r>
          </w:p>
          <w:p>
            <w:pPr>
              <w:pStyle w:val="44"/>
            </w:pPr>
            <w:r>
              <w:t>-</w:t>
            </w:r>
            <w:r>
              <w:tab/>
            </w:r>
            <w:r>
              <w:t xml:space="preserve">For the UE configured with </w:t>
            </w:r>
            <w:r>
              <w:rPr>
                <w:i/>
                <w:iCs/>
              </w:rPr>
              <w:t>uplinkTxSwitchingOption</w:t>
            </w:r>
            <w:r>
              <w:rPr>
                <w:lang w:val="en-US"/>
              </w:rPr>
              <w:t xml:space="preserve"> set to </w:t>
            </w:r>
            <w:r>
              <w:rPr>
                <w:lang w:val="en-GB"/>
              </w:rPr>
              <w:t>'</w:t>
            </w:r>
            <w:r>
              <w:rPr>
                <w:rFonts w:eastAsia="Times New Roman"/>
                <w:iCs/>
                <w:lang w:eastAsia="en-GB"/>
              </w:rPr>
              <w:t>dualUL</w:t>
            </w:r>
            <w:r>
              <w:rPr>
                <w:rFonts w:eastAsia="Times New Roman"/>
                <w:iCs/>
                <w:lang w:val="en-US" w:eastAsia="en-GB"/>
              </w:rPr>
              <w:t>'</w:t>
            </w:r>
            <w:r>
              <w:t xml:space="preserve">, when the UE is to transmit a 1-port transmission on one uplink carrier and if the preceding uplink transmission was a 1-port transmission on another uplink carrier and the UE is under the operation state in which 2-port transmission can be supported on the same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Tx1-Tx2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on any of the two carriers.</w:t>
            </w:r>
          </w:p>
          <w:p>
            <w:pPr>
              <w:pStyle w:val="44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The UE </w:t>
            </w:r>
            <w:r>
              <w:rPr>
                <w:lang w:val="en-US"/>
              </w:rPr>
              <w:t>is</w:t>
            </w:r>
            <w:r>
              <w:t xml:space="preserve"> not </w:t>
            </w:r>
            <w:r>
              <w:rPr>
                <w:lang w:val="en-US"/>
              </w:rPr>
              <w:t>expected to be scheduled or configured with uplink transmissions that result in simultaneous transmission on two antenna ports on one uplink carrier, and any transmission on another uplink carrier.</w:t>
            </w:r>
          </w:p>
          <w:p>
            <w:pPr>
              <w:pStyle w:val="43"/>
            </w:pPr>
            <w:r>
              <w:t>-</w:t>
            </w:r>
            <w:r>
              <w:tab/>
            </w:r>
            <w:r>
              <w:t>In all other cases the UE is expected to transmit normally all uplink transmissions without interruptions.</w:t>
            </w:r>
          </w:p>
          <w:p>
            <w:pPr>
              <w:bidi w:val="0"/>
              <w:rPr>
                <w:color w:val="000000"/>
              </w:rPr>
            </w:pPr>
            <w:bookmarkStart w:id="3" w:name="_Toc169605003"/>
            <w:bookmarkStart w:id="4" w:name="_Toc45810630"/>
            <w:r>
              <w:rPr>
                <w:color w:val="000000"/>
              </w:rPr>
              <w:t>6.1.6.3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 xml:space="preserve">Uplink switching for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 xml:space="preserve">upplementary </w:t>
            </w:r>
            <w:r>
              <w:rPr>
                <w:color w:val="000000"/>
                <w:lang w:val="en-US"/>
              </w:rPr>
              <w:t>u</w:t>
            </w:r>
            <w:r>
              <w:rPr>
                <w:color w:val="000000"/>
              </w:rPr>
              <w:t>plink</w:t>
            </w:r>
            <w:bookmarkEnd w:id="3"/>
            <w:bookmarkEnd w:id="4"/>
          </w:p>
          <w:p>
            <w:r>
              <w:t xml:space="preserve">For a UE </w:t>
            </w:r>
            <w:r>
              <w:rPr>
                <w:lang w:val="en-US"/>
              </w:rPr>
              <w:t xml:space="preserve">indicating a capability for uplink switching with </w:t>
            </w:r>
            <w:r>
              <w:rPr>
                <w:rFonts w:eastAsia="Times New Roman"/>
                <w:i/>
                <w:lang w:eastAsia="en-GB"/>
              </w:rPr>
              <w:t>BandCombination-UplinkTxSwitch</w:t>
            </w:r>
            <w:r>
              <w:rPr>
                <w:lang w:val="en-US"/>
              </w:rPr>
              <w:t xml:space="preserve"> for a band combination, and if it is for that band combination</w:t>
            </w:r>
            <w:r>
              <w:t xml:space="preserve"> </w:t>
            </w:r>
            <w:r>
              <w:rPr>
                <w:lang w:val="en-US"/>
              </w:rPr>
              <w:t xml:space="preserve">configured in a serving cell with two uplink carriers with higher layer parameter </w:t>
            </w:r>
            <w:r>
              <w:rPr>
                <w:i/>
                <w:iCs/>
                <w:lang w:val="en-US" w:eastAsia="fr-FR"/>
              </w:rPr>
              <w:t>supplementaryUplink</w:t>
            </w:r>
            <w:r>
              <w:t>:</w:t>
            </w:r>
          </w:p>
          <w:p>
            <w:pPr>
              <w:pStyle w:val="43"/>
            </w:pPr>
            <w:r>
              <w:t>-</w:t>
            </w:r>
            <w:r>
              <w:tab/>
            </w:r>
            <w:r>
              <w:t xml:space="preserve">If the UE is configured with uplink switching with parameter </w:t>
            </w:r>
            <w:r>
              <w:rPr>
                <w:i/>
                <w:iCs/>
              </w:rPr>
              <w:t>uplinkTxSwitching</w:t>
            </w:r>
            <w:r>
              <w:t>,</w:t>
            </w:r>
          </w:p>
          <w:p>
            <w:pPr>
              <w:pStyle w:val="44"/>
            </w:pPr>
            <w:r>
              <w:t>-</w:t>
            </w:r>
            <w:r>
              <w:tab/>
            </w:r>
            <w:r>
              <w:rPr>
                <w:highlight w:val="cyan"/>
              </w:rPr>
              <w:t xml:space="preserve">If the UE is to transmit any uplink channel or signal on a different uplink from the preceding transmission occasion based on DCI(s) received before </w:t>
            </w:r>
            <w:bookmarkStart w:id="5" w:name="_Hlk42187124"/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T</m:t>
                  </m: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e>
                <m:sub>
                  <m:r>
                    <m:rPr>
                      <m:nor/>
                      <m:sty m:val="b"/>
                    </m:rPr>
                    <w:rPr>
                      <w:rFonts w:ascii="Cambria Math" w:hAnsi="Cambria Math"/>
                      <w:b/>
                      <w:highlight w:val="cyan"/>
                    </w:rPr>
                    <m:t>0</m:t>
                  </m: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sub>
              </m:sSub>
              <m:r>
                <m:rPr>
                  <m:sty m:val="b"/>
                </m:rPr>
                <w:rPr>
                  <w:rFonts w:ascii="Cambria Math" w:hAnsi="Cambria Math" w:cs="MS Gothic"/>
                  <w:highlight w:val="cyan"/>
                  <w:lang w:eastAsia="zh-CN"/>
                </w:rPr>
                <m:t>−</m:t>
              </m:r>
              <m:sSub>
                <m:sSubPr>
                  <m:ctrlPr>
                    <w:rPr>
                      <w:rFonts w:ascii="Cambria Math" w:hAnsi="Cambria Math"/>
                      <w:b/>
                      <w:highlight w:val="cya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T</m:t>
                  </m:r>
                  <m:ctrlPr>
                    <w:rPr>
                      <w:rFonts w:ascii="Cambria Math" w:hAnsi="Cambria Math"/>
                      <w:b/>
                      <w:highlight w:val="cyan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offset</m:t>
                  </m:r>
                  <m:ctrlPr>
                    <w:rPr>
                      <w:rFonts w:ascii="Cambria Math" w:hAnsi="Cambria Math"/>
                      <w:b/>
                      <w:highlight w:val="cyan"/>
                    </w:rPr>
                  </m:ctrlPr>
                </m:sub>
              </m:sSub>
            </m:oMath>
            <w:r>
              <w:rPr>
                <w:b/>
                <w:highlight w:val="cyan"/>
              </w:rPr>
              <w:t xml:space="preserve"> </w:t>
            </w:r>
            <w:r>
              <w:rPr>
                <w:highlight w:val="cyan"/>
              </w:rPr>
              <w:t xml:space="preserve">or based </w:t>
            </w:r>
            <w:bookmarkEnd w:id="5"/>
            <w:r>
              <w:rPr>
                <w:highlight w:val="cyan"/>
              </w:rPr>
              <w:t xml:space="preserve">on a higher layer configuration(s), then the UE assumes that an uplink switching is triggered in a duration of switching gap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N</m:t>
                  </m: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e>
                <m:sub>
                  <m:r>
                    <m:rPr>
                      <m:nor/>
                      <m:sty m:val="b"/>
                    </m:rPr>
                    <w:rPr>
                      <w:rFonts w:ascii="Cambria Math" w:hAnsi="Cambria Math"/>
                      <w:b/>
                      <w:highlight w:val="cyan"/>
                    </w:rPr>
                    <m:t>Tx1-Tx2</m:t>
                  </m: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sub>
              </m:sSub>
            </m:oMath>
            <w:r>
              <w:rPr>
                <w:highlight w:val="cyan"/>
              </w:rPr>
              <w:t>,</w:t>
            </w:r>
            <w: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nor/>
                      <m:sty m:val="b"/>
                    </m:rPr>
                    <w:rPr>
                      <w:rFonts w:ascii="Cambria Math" w:hAnsi="Cambria Math"/>
                      <w:b/>
                    </w:rPr>
                    <m:t>0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</m:sSub>
            </m:oMath>
            <w:r>
              <w:t xml:space="preserve"> is the start time of the first symbol of the transmission occasion of the uplink channel or signal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offset</m:t>
                  </m:r>
                  <m:ctrlPr>
                    <w:rPr>
                      <w:rFonts w:ascii="Cambria Math" w:hAnsi="Cambria Math"/>
                      <w:b/>
                    </w:rPr>
                  </m:ctrlPr>
                </m:sub>
              </m:sSub>
            </m:oMath>
            <w:r>
              <w:t xml:space="preserve"> is the preparation procedure time of the transmission occasion of the uplink channel or signal given in clause 5.3, clause 5.4, clause 6.2.1, clause 6.4 and in clause 9 of [</w:t>
            </w:r>
            <w:r>
              <w:rPr>
                <w:color w:val="000000"/>
              </w:rPr>
              <w:t>6, TS 38.213], respectively</w:t>
            </w:r>
            <w:r>
              <w:t xml:space="preserve">. During the switching gap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nor/>
                      <m:sty m:val="b"/>
                    </m:rPr>
                    <w:rPr>
                      <w:rFonts w:ascii="Cambria Math" w:hAnsi="Cambria Math"/>
                      <w:b/>
                    </w:rPr>
                    <m:t>Tx1-Tx2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</m:sSub>
            </m:oMath>
            <w:r>
              <w:t>, the UE is not expected to transmit on any of the two uplinks.</w:t>
            </w:r>
          </w:p>
          <w:p>
            <w:pPr>
              <w:pStyle w:val="43"/>
            </w:pPr>
            <w:r>
              <w:t>-</w:t>
            </w:r>
            <w:r>
              <w:tab/>
            </w:r>
            <w:r>
              <w:t>In all other cases the UE is expected to transmit normally all uplink transmissions without interruptions.</w:t>
            </w:r>
          </w:p>
          <w:p>
            <w:pPr>
              <w:pStyle w:val="2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spacing w:before="120" w:beforeLines="5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In fact, 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1Tx-1Tx UL switching between 2 bands</w:t>
      </w:r>
      <w:r>
        <w:rPr>
          <w:rFonts w:hint="eastAsia" w:cs="Times New Roman"/>
          <w:bCs/>
          <w:sz w:val="20"/>
          <w:szCs w:val="20"/>
          <w:lang w:val="en-US" w:eastAsia="zh-CN"/>
        </w:rPr>
        <w:t xml:space="preserve"> can be supported from Rel-18 based on the updated </w:t>
      </w:r>
      <w:r>
        <w:rPr>
          <w:rFonts w:hint="eastAsia" w:cs="Times New Roman"/>
          <w:bCs/>
          <w:sz w:val="20"/>
          <w:szCs w:val="20"/>
          <w:highlight w:val="yellow"/>
          <w:lang w:val="en-US" w:eastAsia="zh-CN"/>
        </w:rPr>
        <w:t>higher layer parameters</w:t>
      </w:r>
      <w:r>
        <w:rPr>
          <w:rFonts w:hint="eastAsia" w:cs="Times New Roman"/>
          <w:bCs/>
          <w:sz w:val="20"/>
          <w:szCs w:val="20"/>
          <w:lang w:val="en-US" w:eastAsia="zh-CN"/>
        </w:rPr>
        <w:t>. However, these parameters are not supported in Rel-16.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bookmarkStart w:id="6" w:name="_Toc208949280"/>
            <w:bookmarkStart w:id="7" w:name="_Toc45810627"/>
            <w:bookmarkStart w:id="8" w:name="_Toc219373994"/>
            <w:r>
              <w:rPr>
                <w:rFonts w:hint="eastAsia"/>
                <w:lang w:val="en-US" w:eastAsia="zh-CN"/>
              </w:rPr>
              <w:t xml:space="preserve">TS38.214-i80 </w:t>
            </w:r>
          </w:p>
          <w:p>
            <w:pPr>
              <w:bidi w:val="0"/>
            </w:pPr>
            <w:r>
              <w:t>6.1.6</w:t>
            </w:r>
            <w:r>
              <w:tab/>
            </w:r>
            <w:r>
              <w:t>Uplink switching</w:t>
            </w:r>
            <w:bookmarkEnd w:id="6"/>
            <w:bookmarkEnd w:id="7"/>
            <w:bookmarkEnd w:id="8"/>
          </w:p>
          <w:p>
            <w:r>
              <w:rPr>
                <w:lang w:val="en-US"/>
              </w:rPr>
              <w:t xml:space="preserve">The UE may omit uplink transmission during </w:t>
            </w:r>
            <w:r>
              <w:t xml:space="preserve">the uplink switching gap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Tx1-Tx2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/>
                <w:b/>
              </w:rPr>
              <w:t xml:space="preserve"> </w:t>
            </w:r>
            <w:r>
              <w:t xml:space="preserve">if the conditions defined in this clause are met and the UE is configured with </w:t>
            </w:r>
            <w:r>
              <w:rPr>
                <w:i/>
              </w:rPr>
              <w:t xml:space="preserve">uplinkTxSwitching </w:t>
            </w:r>
            <w:r>
              <w:rPr>
                <w:iCs/>
              </w:rPr>
              <w:t>or</w:t>
            </w:r>
            <w:r>
              <w:rPr>
                <w:i/>
              </w:rPr>
              <w:t xml:space="preserve"> uplinkTxSwitchingMoreBands</w:t>
            </w:r>
            <w:r>
              <w:t xml:space="preserve">. The switching gap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bCs/>
                      <w:i w:val="0"/>
                    </w:rPr>
                    <m:t>Tx1-Tx2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</m:oMath>
            <w:r>
              <w:rPr>
                <w:rFonts w:ascii="Arial" w:hAnsi="Arial"/>
                <w:b/>
              </w:rPr>
              <w:t xml:space="preserve"> </w:t>
            </w:r>
            <w:r>
              <w:t xml:space="preserve">is indicated by UE capability </w:t>
            </w:r>
            <w:r>
              <w:rPr>
                <w:i/>
                <w:iCs/>
              </w:rPr>
              <w:t>uplinkTxSwitchingPeriod2T2T</w:t>
            </w:r>
            <w:r>
              <w:t xml:space="preserve"> if </w:t>
            </w:r>
            <w:r>
              <w:rPr>
                <w:i/>
                <w:iCs/>
              </w:rPr>
              <w:t>uplinkTxSwitching-2T-Mode</w:t>
            </w:r>
            <w:r>
              <w:t xml:space="preserve"> is configured, and </w:t>
            </w:r>
            <w:r>
              <w:rPr>
                <w:i/>
              </w:rPr>
              <w:t xml:space="preserve">uplinkTxSwitchingPeriod </w:t>
            </w:r>
            <w:r>
              <w:rPr>
                <w:iCs/>
              </w:rPr>
              <w:t xml:space="preserve">otherwise in clauses 6.1.6.1, 6.1.6.2.0, 6.1.6.3, and is determined based on higher layer parameter </w:t>
            </w:r>
            <w:r>
              <w:rPr>
                <w:i/>
              </w:rPr>
              <w:t>switchingPeriodConfigForBandPair</w:t>
            </w:r>
            <w:r>
              <w:rPr>
                <w:iCs/>
              </w:rPr>
              <w:t xml:space="preserve"> in clause 6.1.6.2.2 for uplink switching configured with </w:t>
            </w:r>
            <w:r>
              <w:rPr>
                <w:iCs/>
                <w:highlight w:val="yellow"/>
              </w:rPr>
              <w:t>2</w:t>
            </w:r>
            <w:r>
              <w:rPr>
                <w:iCs/>
              </w:rPr>
              <w:t xml:space="preserve">, 3 or 4 uplink bands if </w:t>
            </w:r>
            <w:r>
              <w:rPr>
                <w:i/>
                <w:highlight w:val="yellow"/>
              </w:rPr>
              <w:t>uplinkTxSwitchingMoreBands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>is configured</w:t>
            </w:r>
            <w:r>
              <w:t xml:space="preserve">: </w:t>
            </w:r>
          </w:p>
          <w:p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&lt;Unchanged parts are omitted&gt;</w:t>
            </w:r>
          </w:p>
          <w:p>
            <w:pPr>
              <w:bidi w:val="0"/>
            </w:pPr>
            <w:bookmarkStart w:id="9" w:name="_Toc208949285"/>
            <w:bookmarkStart w:id="10" w:name="_Toc219373999"/>
            <w:r>
              <w:t>6.1.6.2.2</w:t>
            </w:r>
            <w:r>
              <w:tab/>
            </w:r>
            <w:r>
              <w:t>Uplink switching with 3 or 4 uplink bands</w:t>
            </w:r>
            <w:bookmarkEnd w:id="9"/>
            <w:bookmarkEnd w:id="10"/>
          </w:p>
          <w:p>
            <w:r>
              <w:t xml:space="preserve">For a UE </w:t>
            </w:r>
            <w:r>
              <w:rPr>
                <w:lang w:val="en-US"/>
              </w:rPr>
              <w:t xml:space="preserve">indicating a capability for uplink switching with </w:t>
            </w:r>
            <w:r>
              <w:rPr>
                <w:i/>
                <w:iCs/>
              </w:rPr>
              <w:t>BandCombination-UplinkTxSwitch</w:t>
            </w:r>
            <w:r>
              <w:rPr>
                <w:iCs/>
                <w:lang w:eastAsia="en-GB"/>
              </w:rPr>
              <w:t xml:space="preserve"> </w:t>
            </w:r>
            <w:r>
              <w:rPr>
                <w:lang w:val="en-US"/>
              </w:rPr>
              <w:t xml:space="preserve">for a band combination, and </w:t>
            </w:r>
            <w:r>
              <w:t xml:space="preserve">if it is for that band combination configured with uplink carrier aggregation with </w:t>
            </w:r>
            <w:r>
              <w:rPr>
                <w:highlight w:val="yellow"/>
              </w:rPr>
              <w:t>2</w:t>
            </w:r>
            <w:r>
              <w:t xml:space="preserve">, 3 or 4 bands, </w:t>
            </w:r>
            <w:r>
              <w:rPr>
                <w:highlight w:val="yellow"/>
              </w:rPr>
              <w:t xml:space="preserve">the behaviour in subclause 6.1.6.2.0 applies when the two bands involved in the uplink switching belong to different uplink serving cells 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with the parameters </w:t>
            </w:r>
            <w:r>
              <w:rPr>
                <w:i/>
                <w:i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uplinkTxSwitching</w:t>
            </w:r>
            <w:r>
              <w:rPr>
                <w:i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i/>
                <w:i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 uplinkTxSwitchingOption</w:t>
            </w:r>
            <w:r>
              <w:rPr>
                <w:i/>
                <w:iCs/>
                <w:color w:val="000000" w:themeColor="text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and</w:t>
            </w:r>
            <w:r>
              <w:rPr>
                <w:i/>
                <w:iCs/>
                <w:color w:val="000000" w:themeColor="text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i/>
                <w:i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uplinkTxSwitching-2T-Mode </w:t>
            </w:r>
            <w:r>
              <w:rPr>
                <w:i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being</w:t>
            </w:r>
            <w:r>
              <w:rPr>
                <w:i/>
                <w:i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replaced by</w:t>
            </w:r>
            <w:r>
              <w:rPr>
                <w:i/>
                <w:i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 UplinkTxSwitchingMoreBands, switchingOptionConfigForBandPair</w:t>
            </w:r>
            <w:r>
              <w:rPr>
                <w:i/>
                <w:iCs/>
                <w:color w:val="000000" w:themeColor="text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and</w:t>
            </w:r>
            <w:r>
              <w:rPr>
                <w:i/>
                <w:iCs/>
                <w:color w:val="000000" w:themeColor="text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i/>
                <w:i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switching2T-Mode, </w:t>
            </w:r>
            <w:r>
              <w:rPr>
                <w:color w:val="000000" w:themeColor="text1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  <w:t>respectively</w:t>
            </w:r>
            <w:r>
              <w:rPr>
                <w:lang w:val="en-US"/>
              </w:rPr>
              <w:t>,</w:t>
            </w:r>
            <w:r>
              <w:t xml:space="preserve"> and </w:t>
            </w:r>
            <w:r>
              <w:rPr>
                <w:highlight w:val="yellow"/>
              </w:rPr>
              <w:t xml:space="preserve">the behaviour in subclause 6.1.6.3 with the parameter </w:t>
            </w:r>
            <w:r>
              <w:rPr>
                <w:i/>
                <w:i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uplinkTxSwitching </w:t>
            </w:r>
            <w:r>
              <w:rPr>
                <w:i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being</w:t>
            </w:r>
            <w:r>
              <w:rPr>
                <w:i/>
                <w:i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replaced by</w:t>
            </w:r>
            <w:r>
              <w:rPr>
                <w:i/>
                <w:i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 UplinkTxSwitchingMoreBands</w:t>
            </w:r>
            <w:r>
              <w:rPr>
                <w:highlight w:val="yellow"/>
              </w:rPr>
              <w:t xml:space="preserve"> applies when the two bands involved in the uplink switching belong to </w:t>
            </w:r>
            <w:r>
              <w:rPr>
                <w:highlight w:val="yellow"/>
                <w:lang w:val="en-US"/>
              </w:rPr>
              <w:t>one</w:t>
            </w:r>
            <w:r>
              <w:rPr>
                <w:highlight w:val="yellow"/>
              </w:rPr>
              <w:t xml:space="preserve"> uplink serving cell</w:t>
            </w:r>
            <w:r>
              <w:t>, with the following exceptions: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lang w:val="en-US" w:eastAsia="en-US"/>
              </w:rPr>
              <w:t>&lt;Unchanged parts are omitted&gt;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TS38.214-gh0 </w:t>
            </w:r>
          </w:p>
          <w:p>
            <w:pPr>
              <w:bidi w:val="0"/>
            </w:pPr>
            <w:r>
              <w:t>6.1.6</w:t>
            </w:r>
            <w:r>
              <w:tab/>
            </w:r>
            <w:r>
              <w:t>Uplink switching</w:t>
            </w:r>
          </w:p>
          <w:p>
            <w:r>
              <w:rPr>
                <w:lang w:val="en-US"/>
              </w:rPr>
              <w:t xml:space="preserve">The UE may omit uplink transmission during </w:t>
            </w:r>
            <w:r>
              <w:t xml:space="preserve">the uplink switching gap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Tx1-Tx2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/>
                <w:b/>
              </w:rPr>
              <w:t xml:space="preserve"> </w:t>
            </w:r>
            <w:r>
              <w:t xml:space="preserve">if the conditions defined in this clause are met and the UE is configured with </w:t>
            </w:r>
            <w:r>
              <w:rPr>
                <w:i/>
              </w:rPr>
              <w:t>uplinkTxSwitching</w:t>
            </w:r>
            <w:r>
              <w:t xml:space="preserve">. The switching gap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bCs/>
                      <w:i w:val="0"/>
                    </w:rPr>
                    <m:t>Tx1-Tx2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b>
              </m:sSub>
            </m:oMath>
            <w:r>
              <w:rPr>
                <w:rFonts w:ascii="Arial" w:hAnsi="Arial"/>
                <w:b/>
              </w:rPr>
              <w:t xml:space="preserve"> </w:t>
            </w:r>
            <w:r>
              <w:t xml:space="preserve">is indicated by UE capability </w:t>
            </w:r>
            <w:r>
              <w:rPr>
                <w:i/>
              </w:rPr>
              <w:t>uplinkTxSwitchingPeriod</w:t>
            </w:r>
            <w:r>
              <w:t xml:space="preserve">: </w:t>
            </w:r>
          </w:p>
          <w:p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&lt;Unchanged parts are omitted&gt;</w:t>
            </w:r>
          </w:p>
          <w:p>
            <w:pPr>
              <w:bidi w:val="0"/>
            </w:pPr>
            <w:r>
              <w:t>6.1.6.2</w:t>
            </w:r>
            <w:r>
              <w:tab/>
            </w:r>
            <w:r>
              <w:t xml:space="preserve">Uplink switching for </w:t>
            </w:r>
            <w:r>
              <w:rPr>
                <w:lang w:val="en-US"/>
              </w:rPr>
              <w:t>c</w:t>
            </w:r>
            <w:r>
              <w:t xml:space="preserve">arrier </w:t>
            </w:r>
            <w:r>
              <w:rPr>
                <w:lang w:val="en-US"/>
              </w:rPr>
              <w:t>a</w:t>
            </w:r>
            <w:r>
              <w:t>ggregation</w:t>
            </w:r>
          </w:p>
          <w:p>
            <w:r>
              <w:t xml:space="preserve">For a UE </w:t>
            </w:r>
            <w:r>
              <w:rPr>
                <w:lang w:val="en-US"/>
              </w:rPr>
              <w:t xml:space="preserve">indicating a capability for uplink switching with </w:t>
            </w:r>
            <w:r>
              <w:rPr>
                <w:rFonts w:eastAsia="Times New Roman"/>
                <w:i/>
                <w:lang w:eastAsia="en-GB"/>
              </w:rPr>
              <w:t>BandCombination-UplinkTxSwitch</w:t>
            </w:r>
            <w:r>
              <w:rPr>
                <w:lang w:val="en-US"/>
              </w:rPr>
              <w:t xml:space="preserve"> for a band combination, and </w:t>
            </w:r>
            <w:r>
              <w:t>if it is for that band combination configured with uplink carrier aggregation:</w:t>
            </w:r>
          </w:p>
          <w:p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&lt;Unchanged parts are omitted&gt;</w:t>
            </w:r>
          </w:p>
          <w:p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6.1.6.3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 xml:space="preserve">Uplink switching for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 xml:space="preserve">upplementary </w:t>
            </w:r>
            <w:r>
              <w:rPr>
                <w:color w:val="000000"/>
                <w:lang w:val="en-US"/>
              </w:rPr>
              <w:t>u</w:t>
            </w:r>
            <w:r>
              <w:rPr>
                <w:color w:val="000000"/>
              </w:rPr>
              <w:t>plink</w:t>
            </w:r>
          </w:p>
          <w:p>
            <w:r>
              <w:t xml:space="preserve">For a UE </w:t>
            </w:r>
            <w:r>
              <w:rPr>
                <w:lang w:val="en-US"/>
              </w:rPr>
              <w:t xml:space="preserve">indicating a capability for uplink switching with </w:t>
            </w:r>
            <w:r>
              <w:rPr>
                <w:rFonts w:eastAsia="Times New Roman"/>
                <w:i/>
                <w:lang w:eastAsia="en-GB"/>
              </w:rPr>
              <w:t>BandCombination-UplinkTxSwitch</w:t>
            </w:r>
            <w:r>
              <w:rPr>
                <w:lang w:val="en-US"/>
              </w:rPr>
              <w:t xml:space="preserve"> for a band combination, and if it is for that band combination</w:t>
            </w:r>
            <w:r>
              <w:t xml:space="preserve"> </w:t>
            </w:r>
            <w:r>
              <w:rPr>
                <w:lang w:val="en-US"/>
              </w:rPr>
              <w:t xml:space="preserve">configured in a serving cell with two uplink carriers with higher layer parameter </w:t>
            </w:r>
            <w:r>
              <w:rPr>
                <w:i/>
                <w:iCs/>
                <w:lang w:val="en-US" w:eastAsia="fr-FR"/>
              </w:rPr>
              <w:t>supplementaryUplink</w:t>
            </w:r>
            <w:r>
              <w:t>:</w:t>
            </w:r>
          </w:p>
          <w:p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&lt;Unchanged parts are omitted&gt;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Therefore, from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signa</w:t>
      </w:r>
      <w:r>
        <w:rPr>
          <w:rFonts w:hint="default"/>
          <w:lang w:val="en-US" w:eastAsia="zh-CN"/>
        </w:rPr>
        <w:t>lling perspective</w:t>
      </w:r>
      <w:r>
        <w:rPr>
          <w:rFonts w:hint="eastAsia"/>
          <w:lang w:val="en-US" w:eastAsia="zh-CN"/>
        </w:rPr>
        <w:t xml:space="preserve">, </w:t>
      </w:r>
      <w:r>
        <w:rPr>
          <w:rFonts w:hint="default"/>
          <w:lang w:val="en-US" w:eastAsia="zh-CN"/>
        </w:rPr>
        <w:t>1Tx-1Tx UL switching between 2 bands</w:t>
      </w:r>
      <w:r>
        <w:rPr>
          <w:rFonts w:hint="eastAsia"/>
          <w:lang w:val="en-US" w:eastAsia="zh-CN"/>
        </w:rPr>
        <w:t xml:space="preserve"> is not supported in Rel-16. Moreover, UL switching was introduced for 2Tx UE in Rel-16 because support of UL MIMO shall be indicated on one band by a UE. </w:t>
      </w:r>
    </w:p>
    <w:p>
      <w:pPr>
        <w:spacing w:before="120" w:beforeLines="50"/>
        <w:rPr>
          <w:rFonts w:hint="default" w:cs="Times New Roman"/>
          <w:i/>
          <w:iCs/>
          <w:lang w:val="en-US" w:eastAsia="zh-CN"/>
        </w:rPr>
      </w:pPr>
      <w:r>
        <w:rPr>
          <w:rFonts w:hint="eastAsia" w:cs="Times New Roman"/>
          <w:b/>
          <w:bCs/>
          <w:i/>
          <w:iCs/>
          <w:lang w:val="en-US" w:eastAsia="zh-CN"/>
        </w:rPr>
        <w:t>Observation 1</w:t>
      </w:r>
      <w:r>
        <w:rPr>
          <w:rFonts w:hint="eastAsia" w:cs="Times New Roman"/>
          <w:i/>
          <w:iCs/>
          <w:lang w:val="en-US" w:eastAsia="zh-CN"/>
        </w:rPr>
        <w:t xml:space="preserve">: </w:t>
      </w:r>
      <w:r>
        <w:rPr>
          <w:rFonts w:hint="default" w:cs="Times New Roman"/>
          <w:i/>
          <w:iCs/>
          <w:lang w:val="en-US" w:eastAsia="zh-CN"/>
        </w:rPr>
        <w:t>1Tx-1Tx UL switching between 2 bands</w:t>
      </w:r>
      <w:r>
        <w:rPr>
          <w:rFonts w:hint="eastAsia" w:cs="Times New Roman"/>
          <w:i/>
          <w:iCs/>
          <w:lang w:val="en-US" w:eastAsia="zh-CN"/>
        </w:rPr>
        <w:t xml:space="preserve"> is not supported in Rel-16 from </w:t>
      </w:r>
      <w:r>
        <w:rPr>
          <w:rFonts w:hint="default" w:cs="Times New Roman"/>
          <w:i/>
          <w:iCs/>
          <w:lang w:val="en-US" w:eastAsia="zh-CN"/>
        </w:rPr>
        <w:t>signalling perspective</w:t>
      </w:r>
      <w:r>
        <w:rPr>
          <w:rFonts w:hint="eastAsia" w:cs="Times New Roman"/>
          <w:i/>
          <w:iCs/>
          <w:lang w:val="en-US" w:eastAsia="zh-CN"/>
        </w:rPr>
        <w:t xml:space="preserve">. The UL switching conditions could cover 1Tx-1Tx UL switching with </w:t>
      </w:r>
      <w:r>
        <w:rPr>
          <w:rFonts w:hint="default" w:cs="Times New Roman"/>
          <w:i/>
          <w:iCs/>
          <w:lang w:val="en-US" w:eastAsia="zh-CN"/>
        </w:rPr>
        <w:t>non-zero switching period</w:t>
      </w:r>
      <w:r>
        <w:rPr>
          <w:rFonts w:hint="eastAsia" w:cs="Times New Roman"/>
          <w:i/>
          <w:iCs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Based on the RAN4 LS, </w:t>
      </w:r>
      <w:r>
        <w:rPr>
          <w:rFonts w:hint="eastAsia"/>
          <w:lang w:val="en-US" w:eastAsia="en-US"/>
        </w:rPr>
        <w:t xml:space="preserve">RAN2 </w:t>
      </w:r>
      <w:r>
        <w:rPr>
          <w:rFonts w:hint="eastAsia"/>
          <w:lang w:val="en-US" w:eastAsia="zh-CN"/>
        </w:rPr>
        <w:t xml:space="preserve">will discuss how </w:t>
      </w:r>
      <w:r>
        <w:rPr>
          <w:rFonts w:hint="eastAsia"/>
          <w:lang w:val="en-US" w:eastAsia="en-US"/>
        </w:rPr>
        <w:t xml:space="preserve">to introduce this feature </w:t>
      </w:r>
      <w:r>
        <w:rPr>
          <w:rFonts w:hint="eastAsia"/>
          <w:lang w:val="en-US" w:eastAsia="zh-CN"/>
        </w:rPr>
        <w:t xml:space="preserve">as </w:t>
      </w:r>
      <w:r>
        <w:rPr>
          <w:rFonts w:hint="eastAsia"/>
          <w:lang w:val="en-US" w:eastAsia="en-US"/>
        </w:rPr>
        <w:t>early implement</w:t>
      </w:r>
      <w:r>
        <w:rPr>
          <w:rFonts w:hint="eastAsia"/>
          <w:lang w:val="en-US" w:eastAsia="zh-CN"/>
        </w:rPr>
        <w:t xml:space="preserve">ation </w:t>
      </w:r>
      <w:r>
        <w:rPr>
          <w:rFonts w:hint="eastAsia"/>
          <w:lang w:val="en-US" w:eastAsia="en-US"/>
        </w:rPr>
        <w:t>from Rel-16</w:t>
      </w:r>
      <w:r>
        <w:rPr>
          <w:rFonts w:hint="eastAsia"/>
          <w:lang w:val="en-US" w:eastAsia="zh-CN"/>
        </w:rPr>
        <w:t>. Therefore, RAN1 could wait for the RAN2 LS for further reaction. If there are new Rel-16 capabilities introduced or early implementation of Rel-18 UL switching for 1Tx-1Tx UL switching for 2 band, the corresponding RAN1 spec updates are needed. Otherwise, it seems no spec impact in RAN1 without new signalling introduced.</w:t>
      </w:r>
    </w:p>
    <w:p>
      <w:pPr>
        <w:spacing w:before="120" w:beforeLines="50"/>
        <w:rPr>
          <w:rFonts w:hint="eastAsia" w:ascii="Times New Roman" w:hAnsi="Times New Roman" w:eastAsia="宋体" w:cs="Times New Roman"/>
          <w:i/>
          <w:iCs/>
          <w:color w:val="auto"/>
          <w:lang w:val="en-US" w:eastAsia="zh-CN"/>
        </w:rPr>
      </w:pPr>
      <w:r>
        <w:rPr>
          <w:rFonts w:hint="eastAsia" w:cs="Times New Roman"/>
          <w:b/>
          <w:bCs/>
          <w:i/>
          <w:iCs/>
          <w:lang w:val="en-US" w:eastAsia="zh-CN"/>
        </w:rPr>
        <w:t>Proposal 1</w:t>
      </w:r>
      <w:r>
        <w:rPr>
          <w:rFonts w:hint="eastAsia" w:cs="Times New Roman"/>
          <w:i/>
          <w:iCs/>
          <w:lang w:val="en-US" w:eastAsia="zh-CN"/>
        </w:rPr>
        <w:t xml:space="preserve">: It is preferred to wait for the RAN2 LS on how to allow 1Tx UE to support non-zero switching period of 1Tx-1Tx switching for NR inter-band UL CA and SUL band combinations from Rel-16. </w:t>
      </w:r>
      <w:r>
        <w:rPr>
          <w:rFonts w:hint="eastAsia" w:ascii="Times New Roman" w:hAnsi="Times New Roman" w:eastAsia="宋体" w:cs="Times New Roman"/>
          <w:i/>
          <w:iCs/>
          <w:color w:val="auto"/>
          <w:lang w:val="en-US" w:eastAsia="zh-CN"/>
        </w:rPr>
        <w:t xml:space="preserve">  </w:t>
      </w:r>
    </w:p>
    <w:p>
      <w:pPr>
        <w:pStyle w:val="4"/>
      </w:pPr>
      <w:r>
        <w:t>Conclusion</w:t>
      </w:r>
    </w:p>
    <w:p>
      <w:r>
        <w:rPr>
          <w:rFonts w:hint="eastAsia" w:ascii="Times New Roman" w:hAnsi="Times New Roman" w:cs="Times New Roman"/>
          <w:lang w:val="en-US" w:eastAsia="zh-CN"/>
        </w:rPr>
        <w:t>In this contribution, the</w:t>
      </w:r>
      <w:r>
        <w:rPr>
          <w:rFonts w:hint="eastAsia" w:cs="Times New Roman"/>
          <w:lang w:val="en-US" w:eastAsia="zh-CN"/>
        </w:rPr>
        <w:t xml:space="preserve"> observation and</w:t>
      </w:r>
      <w:r>
        <w:rPr>
          <w:rFonts w:hint="eastAsia" w:ascii="Times New Roman" w:hAnsi="Times New Roman" w:cs="Times New Roman"/>
          <w:lang w:val="en-US" w:eastAsia="zh-CN"/>
        </w:rPr>
        <w:t xml:space="preserve"> proposal are summarized as follows:</w:t>
      </w:r>
    </w:p>
    <w:p>
      <w:pPr>
        <w:spacing w:before="120" w:beforeLines="50"/>
        <w:rPr>
          <w:rFonts w:hint="default" w:cs="Times New Roman"/>
          <w:i/>
          <w:iCs/>
          <w:lang w:val="en-US" w:eastAsia="zh-CN"/>
        </w:rPr>
      </w:pPr>
      <w:r>
        <w:rPr>
          <w:rFonts w:hint="eastAsia" w:cs="Times New Roman"/>
          <w:b/>
          <w:bCs/>
          <w:i/>
          <w:iCs/>
          <w:lang w:val="en-US" w:eastAsia="zh-CN"/>
        </w:rPr>
        <w:t>Observation 1</w:t>
      </w:r>
      <w:r>
        <w:rPr>
          <w:rFonts w:hint="eastAsia" w:cs="Times New Roman"/>
          <w:i/>
          <w:iCs/>
          <w:lang w:val="en-US" w:eastAsia="zh-CN"/>
        </w:rPr>
        <w:t xml:space="preserve">: </w:t>
      </w:r>
      <w:r>
        <w:rPr>
          <w:rFonts w:hint="default" w:cs="Times New Roman"/>
          <w:i/>
          <w:iCs/>
          <w:lang w:val="en-US" w:eastAsia="zh-CN"/>
        </w:rPr>
        <w:t>1Tx-1Tx UL switching between 2 bands</w:t>
      </w:r>
      <w:r>
        <w:rPr>
          <w:rFonts w:hint="eastAsia" w:cs="Times New Roman"/>
          <w:i/>
          <w:iCs/>
          <w:lang w:val="en-US" w:eastAsia="zh-CN"/>
        </w:rPr>
        <w:t xml:space="preserve"> is not supported in Rel-16 from </w:t>
      </w:r>
      <w:r>
        <w:rPr>
          <w:rFonts w:hint="default" w:cs="Times New Roman"/>
          <w:i/>
          <w:iCs/>
          <w:lang w:val="en-US" w:eastAsia="zh-CN"/>
        </w:rPr>
        <w:t>signalling perspective</w:t>
      </w:r>
      <w:r>
        <w:rPr>
          <w:rFonts w:hint="eastAsia" w:cs="Times New Roman"/>
          <w:i/>
          <w:iCs/>
          <w:lang w:val="en-US" w:eastAsia="zh-CN"/>
        </w:rPr>
        <w:t xml:space="preserve">. The UL switching conditions could cover 1Tx-1Tx UL switching with </w:t>
      </w:r>
      <w:r>
        <w:rPr>
          <w:rFonts w:hint="default" w:cs="Times New Roman"/>
          <w:i/>
          <w:iCs/>
          <w:lang w:val="en-US" w:eastAsia="zh-CN"/>
        </w:rPr>
        <w:t>non-zero switching period</w:t>
      </w:r>
      <w:r>
        <w:rPr>
          <w:rFonts w:hint="eastAsia" w:cs="Times New Roman"/>
          <w:i/>
          <w:iCs/>
          <w:lang w:val="en-US" w:eastAsia="zh-CN"/>
        </w:rPr>
        <w:t>.</w:t>
      </w:r>
    </w:p>
    <w:p>
      <w:pPr>
        <w:spacing w:before="120" w:beforeLines="50"/>
        <w:rPr>
          <w:rFonts w:hint="eastAsia" w:ascii="Times New Roman" w:hAnsi="Times New Roman" w:eastAsia="宋体" w:cs="Times New Roman"/>
          <w:i/>
          <w:iCs/>
          <w:color w:val="auto"/>
          <w:lang w:val="en-US" w:eastAsia="zh-CN"/>
        </w:rPr>
      </w:pPr>
      <w:r>
        <w:rPr>
          <w:rFonts w:hint="eastAsia" w:cs="Times New Roman"/>
          <w:b/>
          <w:bCs/>
          <w:i/>
          <w:iCs/>
          <w:lang w:val="en-US" w:eastAsia="zh-CN"/>
        </w:rPr>
        <w:t>Proposal 1</w:t>
      </w:r>
      <w:r>
        <w:rPr>
          <w:rFonts w:hint="eastAsia" w:cs="Times New Roman"/>
          <w:i/>
          <w:iCs/>
          <w:lang w:val="en-US" w:eastAsia="zh-CN"/>
        </w:rPr>
        <w:t xml:space="preserve">: It is preferred to wait for the RAN2 LS on how to allow 1Tx UE to support non-zero switching period of 1Tx-1Tx switching for NR inter-band UL CA and SUL band combinations from Rel-16. </w:t>
      </w:r>
      <w:r>
        <w:rPr>
          <w:rFonts w:hint="eastAsia" w:ascii="Times New Roman" w:hAnsi="Times New Roman" w:eastAsia="宋体" w:cs="Times New Roman"/>
          <w:i/>
          <w:iCs/>
          <w:color w:val="auto"/>
          <w:lang w:val="en-US" w:eastAsia="zh-CN"/>
        </w:rPr>
        <w:t xml:space="preserve">  </w:t>
      </w:r>
    </w:p>
    <w:p>
      <w:pPr>
        <w:pStyle w:val="4"/>
      </w:pPr>
      <w:r>
        <w:rPr>
          <w:rFonts w:hint="eastAsia"/>
          <w:lang w:val="en-US" w:eastAsia="zh-CN"/>
        </w:rPr>
        <w:t>Reference</w:t>
      </w:r>
    </w:p>
    <w:p>
      <w:pPr>
        <w:pStyle w:val="35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[1] R1-2600015/R4-2522413, LS on UE 1Tx-1Tx switching period capability for NR inter-band UL CA and SUL band combinations, from RAN4, to RAN2, cc RAN1. </w:t>
      </w:r>
    </w:p>
    <w:p>
      <w:pPr>
        <w:pStyle w:val="35"/>
        <w:ind w:left="0"/>
        <w:rPr>
          <w:lang w:val="en-US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1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15F505D4"/>
    <w:multiLevelType w:val="multilevel"/>
    <w:tmpl w:val="15F505D4"/>
    <w:lvl w:ilvl="0" w:tentative="0">
      <w:start w:val="1"/>
      <w:numFmt w:val="decimal"/>
      <w:pStyle w:val="37"/>
      <w:lvlText w:val="[%1]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382946E8"/>
    <w:multiLevelType w:val="multilevel"/>
    <w:tmpl w:val="382946E8"/>
    <w:lvl w:ilvl="0" w:tentative="0">
      <w:start w:val="1"/>
      <w:numFmt w:val="bullet"/>
      <w:pStyle w:val="47"/>
      <w:lvlText w:val="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BC10D59"/>
    <w:multiLevelType w:val="multilevel"/>
    <w:tmpl w:val="3BC10D5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BDE7A6F"/>
    <w:multiLevelType w:val="multilevel"/>
    <w:tmpl w:val="3BDE7A6F"/>
    <w:lvl w:ilvl="0" w:tentative="0">
      <w:start w:val="1"/>
      <w:numFmt w:val="decimal"/>
      <w:pStyle w:val="4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5"/>
      <w:lvlText w:val="%1.%2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pStyle w:val="6"/>
      <w:lvlText w:val="%1.%2.%3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pStyle w:val="7"/>
      <w:lvlText w:val="%1.%2.%3.%4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pStyle w:val="8"/>
      <w:lvlText w:val="%1.%2.%3.%4.%5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pStyle w:val="9"/>
      <w:lvlText w:val="%1.%2.%3.%4.%5.%6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pStyle w:val="10"/>
      <w:lvlText w:val="%1.%2.%3.%4.%5.%6.%7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pStyle w:val="11"/>
      <w:lvlText w:val="%1.%2.%3.%4.%5.%6.%7.%8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pStyle w:val="12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8">
    <w:nsid w:val="464D3319"/>
    <w:multiLevelType w:val="multilevel"/>
    <w:tmpl w:val="464D3319"/>
    <w:lvl w:ilvl="0" w:tentative="0">
      <w:start w:val="1"/>
      <w:numFmt w:val="decimal"/>
      <w:pStyle w:val="56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9">
    <w:nsid w:val="474274C7"/>
    <w:multiLevelType w:val="multilevel"/>
    <w:tmpl w:val="474274C7"/>
    <w:lvl w:ilvl="0" w:tentative="0">
      <w:start w:val="1"/>
      <w:numFmt w:val="decimalZero"/>
      <w:pStyle w:val="67"/>
      <w:lvlText w:val="[00%1]"/>
      <w:lvlJc w:val="left"/>
      <w:pPr>
        <w:tabs>
          <w:tab w:val="left" w:pos="1134"/>
        </w:tabs>
        <w:ind w:left="0" w:firstLine="0"/>
      </w:pPr>
      <w:rPr>
        <w:rFonts w:hint="default" w:ascii="Times New Roman" w:hAnsi="Times New Roman"/>
        <w:b/>
        <w:i w:val="0"/>
        <w:color w:val="000000"/>
      </w:rPr>
    </w:lvl>
    <w:lvl w:ilvl="1" w:tentative="0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 w:tentative="0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 w:tentative="0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 w:tentative="0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 w:tentative="0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 w:tentative="0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 w:tentative="0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 w:tentative="0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0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>
    <w:nsid w:val="5F1912B1"/>
    <w:multiLevelType w:val="multilevel"/>
    <w:tmpl w:val="5F1912B1"/>
    <w:lvl w:ilvl="0" w:tentative="0">
      <w:start w:val="1"/>
      <w:numFmt w:val="bullet"/>
      <w:pStyle w:val="6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64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65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66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3"/>
  </w:num>
  <w:num w:numId="7">
    <w:abstractNumId w:val="2"/>
  </w:num>
  <w:num w:numId="8">
    <w:abstractNumId w:val="4"/>
  </w:num>
  <w:num w:numId="9">
    <w:abstractNumId w:val="8"/>
  </w:num>
  <w:num w:numId="10">
    <w:abstractNumId w:val="1"/>
    <w:lvlOverride w:ilvl="0">
      <w:lvl w:ilvl="0" w:tentative="1">
        <w:start w:val="1"/>
        <w:numFmt w:val="bullet"/>
        <w:pStyle w:val="57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11">
    <w:abstractNumId w:val="11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42A3"/>
    <w:rsid w:val="00012041"/>
    <w:rsid w:val="00015A55"/>
    <w:rsid w:val="00017FEB"/>
    <w:rsid w:val="00026559"/>
    <w:rsid w:val="00027DF6"/>
    <w:rsid w:val="00030F70"/>
    <w:rsid w:val="000313A7"/>
    <w:rsid w:val="00046A52"/>
    <w:rsid w:val="00051DE0"/>
    <w:rsid w:val="000522CE"/>
    <w:rsid w:val="00060775"/>
    <w:rsid w:val="00065873"/>
    <w:rsid w:val="00070003"/>
    <w:rsid w:val="00070262"/>
    <w:rsid w:val="000710AB"/>
    <w:rsid w:val="00072F10"/>
    <w:rsid w:val="00075F0A"/>
    <w:rsid w:val="00085B84"/>
    <w:rsid w:val="000A1F9D"/>
    <w:rsid w:val="000A548C"/>
    <w:rsid w:val="000A5F9B"/>
    <w:rsid w:val="000B2441"/>
    <w:rsid w:val="000B3036"/>
    <w:rsid w:val="000B5D68"/>
    <w:rsid w:val="000B615E"/>
    <w:rsid w:val="000B7303"/>
    <w:rsid w:val="000C173C"/>
    <w:rsid w:val="000C488F"/>
    <w:rsid w:val="000C76AA"/>
    <w:rsid w:val="000D2717"/>
    <w:rsid w:val="000D501A"/>
    <w:rsid w:val="000D7CE9"/>
    <w:rsid w:val="000F1A80"/>
    <w:rsid w:val="000F305E"/>
    <w:rsid w:val="001019EA"/>
    <w:rsid w:val="001109E7"/>
    <w:rsid w:val="0011508B"/>
    <w:rsid w:val="00120F9E"/>
    <w:rsid w:val="001230F5"/>
    <w:rsid w:val="0012310B"/>
    <w:rsid w:val="0012433F"/>
    <w:rsid w:val="00130F91"/>
    <w:rsid w:val="00145BE2"/>
    <w:rsid w:val="00146F4A"/>
    <w:rsid w:val="0015301A"/>
    <w:rsid w:val="0015542E"/>
    <w:rsid w:val="00155430"/>
    <w:rsid w:val="00162BCD"/>
    <w:rsid w:val="00162D5A"/>
    <w:rsid w:val="00163060"/>
    <w:rsid w:val="00166035"/>
    <w:rsid w:val="001710D4"/>
    <w:rsid w:val="00177643"/>
    <w:rsid w:val="001778F9"/>
    <w:rsid w:val="00182285"/>
    <w:rsid w:val="00195BC2"/>
    <w:rsid w:val="001A39BB"/>
    <w:rsid w:val="001A43F5"/>
    <w:rsid w:val="001A4838"/>
    <w:rsid w:val="001A4977"/>
    <w:rsid w:val="001B6A64"/>
    <w:rsid w:val="001C1D8C"/>
    <w:rsid w:val="001C1E7C"/>
    <w:rsid w:val="001C20E6"/>
    <w:rsid w:val="001C397B"/>
    <w:rsid w:val="001D29E8"/>
    <w:rsid w:val="001D3C86"/>
    <w:rsid w:val="001D701A"/>
    <w:rsid w:val="001D704F"/>
    <w:rsid w:val="001E1F5B"/>
    <w:rsid w:val="001F1D0B"/>
    <w:rsid w:val="001F2CB7"/>
    <w:rsid w:val="001F2F82"/>
    <w:rsid w:val="002008C7"/>
    <w:rsid w:val="00203AFE"/>
    <w:rsid w:val="002076AC"/>
    <w:rsid w:val="00210793"/>
    <w:rsid w:val="00212787"/>
    <w:rsid w:val="00225836"/>
    <w:rsid w:val="00226FAD"/>
    <w:rsid w:val="002270D9"/>
    <w:rsid w:val="00233AE1"/>
    <w:rsid w:val="00250CA3"/>
    <w:rsid w:val="0025209E"/>
    <w:rsid w:val="002559E4"/>
    <w:rsid w:val="00256CC2"/>
    <w:rsid w:val="00262C86"/>
    <w:rsid w:val="0026664C"/>
    <w:rsid w:val="00280711"/>
    <w:rsid w:val="00280F2A"/>
    <w:rsid w:val="0028552F"/>
    <w:rsid w:val="00287660"/>
    <w:rsid w:val="002904DA"/>
    <w:rsid w:val="00297011"/>
    <w:rsid w:val="002A3D48"/>
    <w:rsid w:val="002B133E"/>
    <w:rsid w:val="002B21B5"/>
    <w:rsid w:val="002D0B7E"/>
    <w:rsid w:val="002D2B71"/>
    <w:rsid w:val="002D301A"/>
    <w:rsid w:val="002D37FE"/>
    <w:rsid w:val="002D5C45"/>
    <w:rsid w:val="002E0C24"/>
    <w:rsid w:val="002F1FAA"/>
    <w:rsid w:val="002F3DB1"/>
    <w:rsid w:val="00300F01"/>
    <w:rsid w:val="00302474"/>
    <w:rsid w:val="00311ADA"/>
    <w:rsid w:val="00324023"/>
    <w:rsid w:val="003264B7"/>
    <w:rsid w:val="0032668B"/>
    <w:rsid w:val="00326F07"/>
    <w:rsid w:val="0033238A"/>
    <w:rsid w:val="003343A5"/>
    <w:rsid w:val="00337F0E"/>
    <w:rsid w:val="00340B20"/>
    <w:rsid w:val="00342302"/>
    <w:rsid w:val="0034579B"/>
    <w:rsid w:val="00355C5B"/>
    <w:rsid w:val="00360F8E"/>
    <w:rsid w:val="003635BB"/>
    <w:rsid w:val="00377D4E"/>
    <w:rsid w:val="003811DF"/>
    <w:rsid w:val="00391338"/>
    <w:rsid w:val="003914C3"/>
    <w:rsid w:val="00391E34"/>
    <w:rsid w:val="00391FF7"/>
    <w:rsid w:val="00393676"/>
    <w:rsid w:val="00395295"/>
    <w:rsid w:val="003974D0"/>
    <w:rsid w:val="00397D03"/>
    <w:rsid w:val="003A4F2B"/>
    <w:rsid w:val="003A5A27"/>
    <w:rsid w:val="003A7C59"/>
    <w:rsid w:val="003B05DA"/>
    <w:rsid w:val="003B3345"/>
    <w:rsid w:val="003B35EE"/>
    <w:rsid w:val="003D47A3"/>
    <w:rsid w:val="003D4E84"/>
    <w:rsid w:val="003D5271"/>
    <w:rsid w:val="003E3EF7"/>
    <w:rsid w:val="003E67DD"/>
    <w:rsid w:val="003F2E0D"/>
    <w:rsid w:val="003F7762"/>
    <w:rsid w:val="0040556F"/>
    <w:rsid w:val="0042112D"/>
    <w:rsid w:val="004237DC"/>
    <w:rsid w:val="004272D4"/>
    <w:rsid w:val="00430FCB"/>
    <w:rsid w:val="004313F6"/>
    <w:rsid w:val="00433BBC"/>
    <w:rsid w:val="00433DFB"/>
    <w:rsid w:val="004445E3"/>
    <w:rsid w:val="00445028"/>
    <w:rsid w:val="0044553C"/>
    <w:rsid w:val="00446FD7"/>
    <w:rsid w:val="00457AB4"/>
    <w:rsid w:val="004607C3"/>
    <w:rsid w:val="00465631"/>
    <w:rsid w:val="00466ACE"/>
    <w:rsid w:val="0047155F"/>
    <w:rsid w:val="00475771"/>
    <w:rsid w:val="00477502"/>
    <w:rsid w:val="00480394"/>
    <w:rsid w:val="00480ED9"/>
    <w:rsid w:val="00486B91"/>
    <w:rsid w:val="004871C1"/>
    <w:rsid w:val="00487603"/>
    <w:rsid w:val="004913E7"/>
    <w:rsid w:val="0049203D"/>
    <w:rsid w:val="004A1F8C"/>
    <w:rsid w:val="004A3FCD"/>
    <w:rsid w:val="004A7E15"/>
    <w:rsid w:val="004B0D86"/>
    <w:rsid w:val="004B0FFB"/>
    <w:rsid w:val="004B12D4"/>
    <w:rsid w:val="004B44CC"/>
    <w:rsid w:val="004C0A7C"/>
    <w:rsid w:val="004D0BB8"/>
    <w:rsid w:val="004D1865"/>
    <w:rsid w:val="004D62B8"/>
    <w:rsid w:val="004E445C"/>
    <w:rsid w:val="004F3810"/>
    <w:rsid w:val="004F486A"/>
    <w:rsid w:val="004F6109"/>
    <w:rsid w:val="00501DF9"/>
    <w:rsid w:val="00511997"/>
    <w:rsid w:val="00514036"/>
    <w:rsid w:val="00542929"/>
    <w:rsid w:val="00546597"/>
    <w:rsid w:val="00554F1D"/>
    <w:rsid w:val="00561227"/>
    <w:rsid w:val="005625F0"/>
    <w:rsid w:val="0056378F"/>
    <w:rsid w:val="00566800"/>
    <w:rsid w:val="005670FD"/>
    <w:rsid w:val="00567817"/>
    <w:rsid w:val="00572565"/>
    <w:rsid w:val="00574133"/>
    <w:rsid w:val="005926FA"/>
    <w:rsid w:val="005948DD"/>
    <w:rsid w:val="00597D6B"/>
    <w:rsid w:val="005A1091"/>
    <w:rsid w:val="005A5996"/>
    <w:rsid w:val="005B28C6"/>
    <w:rsid w:val="005B511C"/>
    <w:rsid w:val="005B77AB"/>
    <w:rsid w:val="005D196E"/>
    <w:rsid w:val="005D20F1"/>
    <w:rsid w:val="005D6B3E"/>
    <w:rsid w:val="005D727A"/>
    <w:rsid w:val="005E59B0"/>
    <w:rsid w:val="006014C4"/>
    <w:rsid w:val="006017DD"/>
    <w:rsid w:val="00601A7A"/>
    <w:rsid w:val="006035C5"/>
    <w:rsid w:val="006041B9"/>
    <w:rsid w:val="00606200"/>
    <w:rsid w:val="00613CFB"/>
    <w:rsid w:val="00616E48"/>
    <w:rsid w:val="00617910"/>
    <w:rsid w:val="00633EAE"/>
    <w:rsid w:val="006345FD"/>
    <w:rsid w:val="00645539"/>
    <w:rsid w:val="00647307"/>
    <w:rsid w:val="0065039A"/>
    <w:rsid w:val="00651E5D"/>
    <w:rsid w:val="006531A3"/>
    <w:rsid w:val="0065487E"/>
    <w:rsid w:val="00657927"/>
    <w:rsid w:val="00665283"/>
    <w:rsid w:val="00670B87"/>
    <w:rsid w:val="006732B1"/>
    <w:rsid w:val="00675C2C"/>
    <w:rsid w:val="0067650D"/>
    <w:rsid w:val="006805D4"/>
    <w:rsid w:val="0068494F"/>
    <w:rsid w:val="00685CBC"/>
    <w:rsid w:val="00687720"/>
    <w:rsid w:val="00690330"/>
    <w:rsid w:val="00692161"/>
    <w:rsid w:val="00692EC5"/>
    <w:rsid w:val="006A3AE9"/>
    <w:rsid w:val="006B17E2"/>
    <w:rsid w:val="006B40FF"/>
    <w:rsid w:val="006C32C6"/>
    <w:rsid w:val="006C6605"/>
    <w:rsid w:val="006D18F8"/>
    <w:rsid w:val="006D5AD8"/>
    <w:rsid w:val="006D5F2C"/>
    <w:rsid w:val="006E0D3A"/>
    <w:rsid w:val="006E1783"/>
    <w:rsid w:val="006E27A2"/>
    <w:rsid w:val="006E3895"/>
    <w:rsid w:val="006E74B6"/>
    <w:rsid w:val="006E7E2F"/>
    <w:rsid w:val="006F5CA1"/>
    <w:rsid w:val="00703553"/>
    <w:rsid w:val="00703BAC"/>
    <w:rsid w:val="00706ECF"/>
    <w:rsid w:val="00711362"/>
    <w:rsid w:val="00711B01"/>
    <w:rsid w:val="00714338"/>
    <w:rsid w:val="00722657"/>
    <w:rsid w:val="00737454"/>
    <w:rsid w:val="00737633"/>
    <w:rsid w:val="00737E1F"/>
    <w:rsid w:val="00750B7B"/>
    <w:rsid w:val="007573E6"/>
    <w:rsid w:val="00766308"/>
    <w:rsid w:val="00770DCB"/>
    <w:rsid w:val="007762F6"/>
    <w:rsid w:val="00782382"/>
    <w:rsid w:val="00784472"/>
    <w:rsid w:val="00785DFB"/>
    <w:rsid w:val="00786AA3"/>
    <w:rsid w:val="007967DD"/>
    <w:rsid w:val="00797045"/>
    <w:rsid w:val="007973C7"/>
    <w:rsid w:val="007A0861"/>
    <w:rsid w:val="007A1B62"/>
    <w:rsid w:val="007A2874"/>
    <w:rsid w:val="007A5383"/>
    <w:rsid w:val="007A6CB5"/>
    <w:rsid w:val="007B1FA0"/>
    <w:rsid w:val="007B2956"/>
    <w:rsid w:val="007B2E51"/>
    <w:rsid w:val="007B4CE8"/>
    <w:rsid w:val="007B6DCE"/>
    <w:rsid w:val="007C404E"/>
    <w:rsid w:val="007D16CB"/>
    <w:rsid w:val="007E79A9"/>
    <w:rsid w:val="007F2D46"/>
    <w:rsid w:val="007F49E7"/>
    <w:rsid w:val="007F59E5"/>
    <w:rsid w:val="00800961"/>
    <w:rsid w:val="008038E2"/>
    <w:rsid w:val="00806409"/>
    <w:rsid w:val="0081164C"/>
    <w:rsid w:val="00834E39"/>
    <w:rsid w:val="00836016"/>
    <w:rsid w:val="0084302D"/>
    <w:rsid w:val="008454F9"/>
    <w:rsid w:val="008475A9"/>
    <w:rsid w:val="00861097"/>
    <w:rsid w:val="00865E1B"/>
    <w:rsid w:val="00873D10"/>
    <w:rsid w:val="008764EE"/>
    <w:rsid w:val="00881C24"/>
    <w:rsid w:val="008877D4"/>
    <w:rsid w:val="00895D51"/>
    <w:rsid w:val="008A165C"/>
    <w:rsid w:val="008A30A6"/>
    <w:rsid w:val="008A373A"/>
    <w:rsid w:val="008A5C7E"/>
    <w:rsid w:val="008A716E"/>
    <w:rsid w:val="008B661E"/>
    <w:rsid w:val="008C09EB"/>
    <w:rsid w:val="008D1A2D"/>
    <w:rsid w:val="008D2A72"/>
    <w:rsid w:val="008D5968"/>
    <w:rsid w:val="008E5F6E"/>
    <w:rsid w:val="008E686F"/>
    <w:rsid w:val="008F3502"/>
    <w:rsid w:val="008F5BF6"/>
    <w:rsid w:val="0090102C"/>
    <w:rsid w:val="00904694"/>
    <w:rsid w:val="00910C20"/>
    <w:rsid w:val="00913AC7"/>
    <w:rsid w:val="00915C4B"/>
    <w:rsid w:val="00921AEB"/>
    <w:rsid w:val="00923D59"/>
    <w:rsid w:val="009312AE"/>
    <w:rsid w:val="0093259E"/>
    <w:rsid w:val="0094169B"/>
    <w:rsid w:val="00942ABA"/>
    <w:rsid w:val="00950AF9"/>
    <w:rsid w:val="009521CE"/>
    <w:rsid w:val="00952287"/>
    <w:rsid w:val="00957948"/>
    <w:rsid w:val="00960B41"/>
    <w:rsid w:val="00971695"/>
    <w:rsid w:val="00971F39"/>
    <w:rsid w:val="00982EBD"/>
    <w:rsid w:val="0098430E"/>
    <w:rsid w:val="00992439"/>
    <w:rsid w:val="00993CB3"/>
    <w:rsid w:val="00994A55"/>
    <w:rsid w:val="009951A9"/>
    <w:rsid w:val="00995611"/>
    <w:rsid w:val="009A0A69"/>
    <w:rsid w:val="009A5D68"/>
    <w:rsid w:val="009A6235"/>
    <w:rsid w:val="009A7095"/>
    <w:rsid w:val="009B2A15"/>
    <w:rsid w:val="009C3EDC"/>
    <w:rsid w:val="009C4FEA"/>
    <w:rsid w:val="009D062C"/>
    <w:rsid w:val="009D1451"/>
    <w:rsid w:val="009D236F"/>
    <w:rsid w:val="009D62C7"/>
    <w:rsid w:val="009E34F5"/>
    <w:rsid w:val="009E52CE"/>
    <w:rsid w:val="009E7C17"/>
    <w:rsid w:val="009F6B16"/>
    <w:rsid w:val="00A00E04"/>
    <w:rsid w:val="00A01FD8"/>
    <w:rsid w:val="00A050A4"/>
    <w:rsid w:val="00A0555A"/>
    <w:rsid w:val="00A11D0B"/>
    <w:rsid w:val="00A136F9"/>
    <w:rsid w:val="00A159A7"/>
    <w:rsid w:val="00A169FE"/>
    <w:rsid w:val="00A23A13"/>
    <w:rsid w:val="00A23AC4"/>
    <w:rsid w:val="00A2589D"/>
    <w:rsid w:val="00A26411"/>
    <w:rsid w:val="00A27ED8"/>
    <w:rsid w:val="00A30BF9"/>
    <w:rsid w:val="00A321AE"/>
    <w:rsid w:val="00A361F7"/>
    <w:rsid w:val="00A50287"/>
    <w:rsid w:val="00A53C77"/>
    <w:rsid w:val="00A609D7"/>
    <w:rsid w:val="00A62D0B"/>
    <w:rsid w:val="00A72ADF"/>
    <w:rsid w:val="00A7446C"/>
    <w:rsid w:val="00A77F12"/>
    <w:rsid w:val="00A80ACE"/>
    <w:rsid w:val="00A80CF5"/>
    <w:rsid w:val="00A84B14"/>
    <w:rsid w:val="00A91003"/>
    <w:rsid w:val="00A91CA6"/>
    <w:rsid w:val="00A9321D"/>
    <w:rsid w:val="00AA577F"/>
    <w:rsid w:val="00AA788E"/>
    <w:rsid w:val="00AB0463"/>
    <w:rsid w:val="00AB1B90"/>
    <w:rsid w:val="00AB2C19"/>
    <w:rsid w:val="00AB48F4"/>
    <w:rsid w:val="00AB6876"/>
    <w:rsid w:val="00AC3166"/>
    <w:rsid w:val="00AC3359"/>
    <w:rsid w:val="00AC3A58"/>
    <w:rsid w:val="00AD2928"/>
    <w:rsid w:val="00AD2EF2"/>
    <w:rsid w:val="00AE6350"/>
    <w:rsid w:val="00AF5830"/>
    <w:rsid w:val="00AF5B6B"/>
    <w:rsid w:val="00AF5DB7"/>
    <w:rsid w:val="00AF6158"/>
    <w:rsid w:val="00AF6ED7"/>
    <w:rsid w:val="00B13AA7"/>
    <w:rsid w:val="00B1516E"/>
    <w:rsid w:val="00B152C4"/>
    <w:rsid w:val="00B15576"/>
    <w:rsid w:val="00B43D99"/>
    <w:rsid w:val="00B451EB"/>
    <w:rsid w:val="00B467FC"/>
    <w:rsid w:val="00B502F2"/>
    <w:rsid w:val="00B5528C"/>
    <w:rsid w:val="00B640AE"/>
    <w:rsid w:val="00B64B55"/>
    <w:rsid w:val="00B70246"/>
    <w:rsid w:val="00B73CD7"/>
    <w:rsid w:val="00B80976"/>
    <w:rsid w:val="00B83CA6"/>
    <w:rsid w:val="00B93491"/>
    <w:rsid w:val="00B93E24"/>
    <w:rsid w:val="00B977EE"/>
    <w:rsid w:val="00BA52FA"/>
    <w:rsid w:val="00BA5C1C"/>
    <w:rsid w:val="00BA6DAF"/>
    <w:rsid w:val="00BB2A16"/>
    <w:rsid w:val="00BC0C4D"/>
    <w:rsid w:val="00BD127B"/>
    <w:rsid w:val="00BD2263"/>
    <w:rsid w:val="00BD5778"/>
    <w:rsid w:val="00BD6B0F"/>
    <w:rsid w:val="00BE1DA3"/>
    <w:rsid w:val="00BE2613"/>
    <w:rsid w:val="00BF0EEC"/>
    <w:rsid w:val="00BF52C7"/>
    <w:rsid w:val="00C00749"/>
    <w:rsid w:val="00C01593"/>
    <w:rsid w:val="00C05E2F"/>
    <w:rsid w:val="00C07988"/>
    <w:rsid w:val="00C124D9"/>
    <w:rsid w:val="00C15270"/>
    <w:rsid w:val="00C17EA2"/>
    <w:rsid w:val="00C27D83"/>
    <w:rsid w:val="00C27FEB"/>
    <w:rsid w:val="00C301C6"/>
    <w:rsid w:val="00C32781"/>
    <w:rsid w:val="00C374EE"/>
    <w:rsid w:val="00C42069"/>
    <w:rsid w:val="00C44BBE"/>
    <w:rsid w:val="00C450A2"/>
    <w:rsid w:val="00C45599"/>
    <w:rsid w:val="00C5026C"/>
    <w:rsid w:val="00C50D79"/>
    <w:rsid w:val="00C602F5"/>
    <w:rsid w:val="00C60DC8"/>
    <w:rsid w:val="00C64F06"/>
    <w:rsid w:val="00C65FBC"/>
    <w:rsid w:val="00C6743C"/>
    <w:rsid w:val="00C774D0"/>
    <w:rsid w:val="00C82A4A"/>
    <w:rsid w:val="00C84F04"/>
    <w:rsid w:val="00C86B31"/>
    <w:rsid w:val="00C91E19"/>
    <w:rsid w:val="00C94D05"/>
    <w:rsid w:val="00C96043"/>
    <w:rsid w:val="00CA2E0F"/>
    <w:rsid w:val="00CC150C"/>
    <w:rsid w:val="00CC4D81"/>
    <w:rsid w:val="00CE0277"/>
    <w:rsid w:val="00CE06D2"/>
    <w:rsid w:val="00CE15BD"/>
    <w:rsid w:val="00CE5E1E"/>
    <w:rsid w:val="00CF03B6"/>
    <w:rsid w:val="00CF72EC"/>
    <w:rsid w:val="00CF797A"/>
    <w:rsid w:val="00CF7A64"/>
    <w:rsid w:val="00D05149"/>
    <w:rsid w:val="00D11338"/>
    <w:rsid w:val="00D202DD"/>
    <w:rsid w:val="00D2395F"/>
    <w:rsid w:val="00D27C6B"/>
    <w:rsid w:val="00D407B3"/>
    <w:rsid w:val="00D421BB"/>
    <w:rsid w:val="00D431D8"/>
    <w:rsid w:val="00D437B7"/>
    <w:rsid w:val="00D45CBF"/>
    <w:rsid w:val="00D52538"/>
    <w:rsid w:val="00D53AB9"/>
    <w:rsid w:val="00D6592D"/>
    <w:rsid w:val="00D72C3B"/>
    <w:rsid w:val="00D84D1F"/>
    <w:rsid w:val="00D86CC0"/>
    <w:rsid w:val="00D91FB2"/>
    <w:rsid w:val="00DA02C9"/>
    <w:rsid w:val="00DA2A10"/>
    <w:rsid w:val="00DA4F90"/>
    <w:rsid w:val="00DA7513"/>
    <w:rsid w:val="00DB4A00"/>
    <w:rsid w:val="00DC0F88"/>
    <w:rsid w:val="00DC1EF1"/>
    <w:rsid w:val="00DC60D4"/>
    <w:rsid w:val="00DD2381"/>
    <w:rsid w:val="00DD6400"/>
    <w:rsid w:val="00DE28FB"/>
    <w:rsid w:val="00DE6621"/>
    <w:rsid w:val="00DE6632"/>
    <w:rsid w:val="00DF3684"/>
    <w:rsid w:val="00DF5800"/>
    <w:rsid w:val="00E133C3"/>
    <w:rsid w:val="00E1383E"/>
    <w:rsid w:val="00E15318"/>
    <w:rsid w:val="00E158D1"/>
    <w:rsid w:val="00E1686C"/>
    <w:rsid w:val="00E215C4"/>
    <w:rsid w:val="00E22C70"/>
    <w:rsid w:val="00E25D0E"/>
    <w:rsid w:val="00E273C4"/>
    <w:rsid w:val="00E426ED"/>
    <w:rsid w:val="00E42731"/>
    <w:rsid w:val="00E433BA"/>
    <w:rsid w:val="00E44836"/>
    <w:rsid w:val="00E44A17"/>
    <w:rsid w:val="00E640A8"/>
    <w:rsid w:val="00E70564"/>
    <w:rsid w:val="00E77CD1"/>
    <w:rsid w:val="00E802EE"/>
    <w:rsid w:val="00E84177"/>
    <w:rsid w:val="00E84E86"/>
    <w:rsid w:val="00E927CC"/>
    <w:rsid w:val="00EA0CFC"/>
    <w:rsid w:val="00EA0F6D"/>
    <w:rsid w:val="00EC238D"/>
    <w:rsid w:val="00EC3AEA"/>
    <w:rsid w:val="00EC51A0"/>
    <w:rsid w:val="00EC59E1"/>
    <w:rsid w:val="00EC60F4"/>
    <w:rsid w:val="00ED4BB8"/>
    <w:rsid w:val="00ED5664"/>
    <w:rsid w:val="00ED61F5"/>
    <w:rsid w:val="00EF42E6"/>
    <w:rsid w:val="00EF4591"/>
    <w:rsid w:val="00F1151A"/>
    <w:rsid w:val="00F143FF"/>
    <w:rsid w:val="00F173B2"/>
    <w:rsid w:val="00F17F2A"/>
    <w:rsid w:val="00F20615"/>
    <w:rsid w:val="00F2238C"/>
    <w:rsid w:val="00F3139D"/>
    <w:rsid w:val="00F338B7"/>
    <w:rsid w:val="00F35A49"/>
    <w:rsid w:val="00F45EED"/>
    <w:rsid w:val="00F517AE"/>
    <w:rsid w:val="00F56022"/>
    <w:rsid w:val="00F61563"/>
    <w:rsid w:val="00F6288A"/>
    <w:rsid w:val="00F62AF3"/>
    <w:rsid w:val="00F65419"/>
    <w:rsid w:val="00F66BB3"/>
    <w:rsid w:val="00F803D4"/>
    <w:rsid w:val="00F916AF"/>
    <w:rsid w:val="00F96648"/>
    <w:rsid w:val="00FA240A"/>
    <w:rsid w:val="00FA477A"/>
    <w:rsid w:val="00FB6E31"/>
    <w:rsid w:val="00FC184A"/>
    <w:rsid w:val="00FC2EED"/>
    <w:rsid w:val="00FD02C3"/>
    <w:rsid w:val="00FD2C4C"/>
    <w:rsid w:val="00FD6B32"/>
    <w:rsid w:val="00FE5131"/>
    <w:rsid w:val="00FE5ABD"/>
    <w:rsid w:val="00FE5F0A"/>
    <w:rsid w:val="00FE742E"/>
    <w:rsid w:val="00FF345F"/>
    <w:rsid w:val="00FF5AAE"/>
    <w:rsid w:val="00FF7BD1"/>
    <w:rsid w:val="00FF7BEB"/>
    <w:rsid w:val="01325FE6"/>
    <w:rsid w:val="018A0E13"/>
    <w:rsid w:val="018A58CB"/>
    <w:rsid w:val="01F11ABC"/>
    <w:rsid w:val="025F48FF"/>
    <w:rsid w:val="026B3287"/>
    <w:rsid w:val="02CF14AA"/>
    <w:rsid w:val="0306625F"/>
    <w:rsid w:val="037A56F8"/>
    <w:rsid w:val="03C64D74"/>
    <w:rsid w:val="03C73C40"/>
    <w:rsid w:val="043467F3"/>
    <w:rsid w:val="0461636B"/>
    <w:rsid w:val="04BE2ED4"/>
    <w:rsid w:val="04CD030F"/>
    <w:rsid w:val="05055969"/>
    <w:rsid w:val="05171657"/>
    <w:rsid w:val="054D2B43"/>
    <w:rsid w:val="05743230"/>
    <w:rsid w:val="05D000DC"/>
    <w:rsid w:val="06254030"/>
    <w:rsid w:val="06451A56"/>
    <w:rsid w:val="06963DDF"/>
    <w:rsid w:val="06C37204"/>
    <w:rsid w:val="06D0743C"/>
    <w:rsid w:val="09022DD0"/>
    <w:rsid w:val="094139BD"/>
    <w:rsid w:val="09764BF0"/>
    <w:rsid w:val="0984657C"/>
    <w:rsid w:val="0A025FF9"/>
    <w:rsid w:val="0A384B69"/>
    <w:rsid w:val="0ADA0B8C"/>
    <w:rsid w:val="0BAB60B5"/>
    <w:rsid w:val="0C301D6B"/>
    <w:rsid w:val="0CAA7322"/>
    <w:rsid w:val="0D6938A2"/>
    <w:rsid w:val="0D7865A5"/>
    <w:rsid w:val="0DA63A05"/>
    <w:rsid w:val="0DC83A75"/>
    <w:rsid w:val="0DDC788B"/>
    <w:rsid w:val="0E1B4E76"/>
    <w:rsid w:val="0E892E1D"/>
    <w:rsid w:val="0EBB3639"/>
    <w:rsid w:val="0F84587A"/>
    <w:rsid w:val="0FD101F3"/>
    <w:rsid w:val="0FEE1F88"/>
    <w:rsid w:val="100D7863"/>
    <w:rsid w:val="10BB2E7F"/>
    <w:rsid w:val="115C2A08"/>
    <w:rsid w:val="132B7D04"/>
    <w:rsid w:val="13B74DE6"/>
    <w:rsid w:val="13E10270"/>
    <w:rsid w:val="13F218D0"/>
    <w:rsid w:val="14191607"/>
    <w:rsid w:val="143602DA"/>
    <w:rsid w:val="14720225"/>
    <w:rsid w:val="14D902A4"/>
    <w:rsid w:val="151E3433"/>
    <w:rsid w:val="15461BD9"/>
    <w:rsid w:val="1552298B"/>
    <w:rsid w:val="1595150C"/>
    <w:rsid w:val="15B029A2"/>
    <w:rsid w:val="166938A9"/>
    <w:rsid w:val="16815279"/>
    <w:rsid w:val="16FF4318"/>
    <w:rsid w:val="16FF4530"/>
    <w:rsid w:val="170F24F1"/>
    <w:rsid w:val="179F6362"/>
    <w:rsid w:val="18031E1F"/>
    <w:rsid w:val="187334AB"/>
    <w:rsid w:val="19296639"/>
    <w:rsid w:val="1A424E7F"/>
    <w:rsid w:val="1AAA39D4"/>
    <w:rsid w:val="1ABB4669"/>
    <w:rsid w:val="1B1F438E"/>
    <w:rsid w:val="1B505DB9"/>
    <w:rsid w:val="1BD35136"/>
    <w:rsid w:val="1BF4566B"/>
    <w:rsid w:val="1C93646E"/>
    <w:rsid w:val="1CF76192"/>
    <w:rsid w:val="1D3D2FFA"/>
    <w:rsid w:val="1DC064A5"/>
    <w:rsid w:val="1E456FF9"/>
    <w:rsid w:val="1E7246A5"/>
    <w:rsid w:val="1EE559BD"/>
    <w:rsid w:val="1F3025BA"/>
    <w:rsid w:val="1F872FC8"/>
    <w:rsid w:val="1FCA14B3"/>
    <w:rsid w:val="203730A5"/>
    <w:rsid w:val="20CF582B"/>
    <w:rsid w:val="20EB001C"/>
    <w:rsid w:val="20EC4DFB"/>
    <w:rsid w:val="21962D28"/>
    <w:rsid w:val="219630B6"/>
    <w:rsid w:val="21D526D3"/>
    <w:rsid w:val="22392531"/>
    <w:rsid w:val="224A3AD1"/>
    <w:rsid w:val="22F4099F"/>
    <w:rsid w:val="23384591"/>
    <w:rsid w:val="24AB32DF"/>
    <w:rsid w:val="256E58F7"/>
    <w:rsid w:val="25AF1BE4"/>
    <w:rsid w:val="25DB4AFE"/>
    <w:rsid w:val="26130D8E"/>
    <w:rsid w:val="26316F66"/>
    <w:rsid w:val="266D329C"/>
    <w:rsid w:val="26A76454"/>
    <w:rsid w:val="275639D6"/>
    <w:rsid w:val="2774563A"/>
    <w:rsid w:val="2907735C"/>
    <w:rsid w:val="293456C1"/>
    <w:rsid w:val="29AC1FD3"/>
    <w:rsid w:val="2A8C4F5A"/>
    <w:rsid w:val="2B426863"/>
    <w:rsid w:val="2C1249A9"/>
    <w:rsid w:val="2D18338A"/>
    <w:rsid w:val="2D636E4D"/>
    <w:rsid w:val="2D953FD8"/>
    <w:rsid w:val="2DA835D6"/>
    <w:rsid w:val="2DE9514A"/>
    <w:rsid w:val="2E382BFF"/>
    <w:rsid w:val="2E7F19D7"/>
    <w:rsid w:val="2EE35A04"/>
    <w:rsid w:val="2EFA558F"/>
    <w:rsid w:val="2F35161A"/>
    <w:rsid w:val="2F850F05"/>
    <w:rsid w:val="2FA8493D"/>
    <w:rsid w:val="2FCC3878"/>
    <w:rsid w:val="3075518C"/>
    <w:rsid w:val="30E965CE"/>
    <w:rsid w:val="31205744"/>
    <w:rsid w:val="31406FDD"/>
    <w:rsid w:val="31740D19"/>
    <w:rsid w:val="32233775"/>
    <w:rsid w:val="32285C55"/>
    <w:rsid w:val="32296F5A"/>
    <w:rsid w:val="32851613"/>
    <w:rsid w:val="32A974A8"/>
    <w:rsid w:val="32EA1597"/>
    <w:rsid w:val="3312199A"/>
    <w:rsid w:val="33BB2EB6"/>
    <w:rsid w:val="34215AAD"/>
    <w:rsid w:val="34945D4F"/>
    <w:rsid w:val="34CE0A97"/>
    <w:rsid w:val="34EA68FC"/>
    <w:rsid w:val="35400790"/>
    <w:rsid w:val="355F5690"/>
    <w:rsid w:val="358F3326"/>
    <w:rsid w:val="359F2D89"/>
    <w:rsid w:val="36460F99"/>
    <w:rsid w:val="36595A3B"/>
    <w:rsid w:val="36AC62D8"/>
    <w:rsid w:val="37872E74"/>
    <w:rsid w:val="381419DC"/>
    <w:rsid w:val="381F1A74"/>
    <w:rsid w:val="39FA48AC"/>
    <w:rsid w:val="3A166077"/>
    <w:rsid w:val="3A9474A1"/>
    <w:rsid w:val="3AFE0C57"/>
    <w:rsid w:val="3B4F6126"/>
    <w:rsid w:val="3B6049CB"/>
    <w:rsid w:val="3BA548E8"/>
    <w:rsid w:val="3C340CD4"/>
    <w:rsid w:val="3C3976F6"/>
    <w:rsid w:val="3C7A0535"/>
    <w:rsid w:val="3C8E2667"/>
    <w:rsid w:val="3CC81E82"/>
    <w:rsid w:val="3D027E9D"/>
    <w:rsid w:val="3D1F277A"/>
    <w:rsid w:val="3D940346"/>
    <w:rsid w:val="3DD16176"/>
    <w:rsid w:val="3E855DC8"/>
    <w:rsid w:val="3ECC1E3C"/>
    <w:rsid w:val="3F407652"/>
    <w:rsid w:val="3F864FC5"/>
    <w:rsid w:val="3FE93AB0"/>
    <w:rsid w:val="400865EF"/>
    <w:rsid w:val="400C2735"/>
    <w:rsid w:val="409056B7"/>
    <w:rsid w:val="40D06401"/>
    <w:rsid w:val="40DB4E75"/>
    <w:rsid w:val="411F2BCC"/>
    <w:rsid w:val="41697F5C"/>
    <w:rsid w:val="41AC17E0"/>
    <w:rsid w:val="41E50BAA"/>
    <w:rsid w:val="42030C49"/>
    <w:rsid w:val="42681DFC"/>
    <w:rsid w:val="429C4727"/>
    <w:rsid w:val="43615785"/>
    <w:rsid w:val="43BA679E"/>
    <w:rsid w:val="44092E2E"/>
    <w:rsid w:val="44562E10"/>
    <w:rsid w:val="4463567E"/>
    <w:rsid w:val="44EB6041"/>
    <w:rsid w:val="45092283"/>
    <w:rsid w:val="46061790"/>
    <w:rsid w:val="46252AC1"/>
    <w:rsid w:val="46A61E2C"/>
    <w:rsid w:val="46F00934"/>
    <w:rsid w:val="47087F18"/>
    <w:rsid w:val="47993F84"/>
    <w:rsid w:val="47A30116"/>
    <w:rsid w:val="47C42C03"/>
    <w:rsid w:val="482029D7"/>
    <w:rsid w:val="48410F19"/>
    <w:rsid w:val="489973AA"/>
    <w:rsid w:val="48E2564A"/>
    <w:rsid w:val="4AA96E37"/>
    <w:rsid w:val="4B8E52B1"/>
    <w:rsid w:val="4BD40DF5"/>
    <w:rsid w:val="4C7A0E3B"/>
    <w:rsid w:val="4CF856D5"/>
    <w:rsid w:val="4D094EC3"/>
    <w:rsid w:val="4D541AEE"/>
    <w:rsid w:val="4D547FED"/>
    <w:rsid w:val="4D7F46B4"/>
    <w:rsid w:val="4E393586"/>
    <w:rsid w:val="4E41138F"/>
    <w:rsid w:val="4E5F5F21"/>
    <w:rsid w:val="4E82266A"/>
    <w:rsid w:val="4EC54E1A"/>
    <w:rsid w:val="4ECE7E82"/>
    <w:rsid w:val="4EDB212D"/>
    <w:rsid w:val="4F8151E4"/>
    <w:rsid w:val="4FEE557C"/>
    <w:rsid w:val="4FF33DB8"/>
    <w:rsid w:val="505A3B3A"/>
    <w:rsid w:val="50DD75B9"/>
    <w:rsid w:val="50F47C38"/>
    <w:rsid w:val="51087569"/>
    <w:rsid w:val="51120C8D"/>
    <w:rsid w:val="51563A00"/>
    <w:rsid w:val="517A4EB9"/>
    <w:rsid w:val="519809A2"/>
    <w:rsid w:val="52586AA6"/>
    <w:rsid w:val="52DC0ED1"/>
    <w:rsid w:val="536C1D08"/>
    <w:rsid w:val="53AF716D"/>
    <w:rsid w:val="53CA3594"/>
    <w:rsid w:val="543B0AAF"/>
    <w:rsid w:val="548D6A45"/>
    <w:rsid w:val="54E57124"/>
    <w:rsid w:val="55466588"/>
    <w:rsid w:val="55E204BC"/>
    <w:rsid w:val="562F5220"/>
    <w:rsid w:val="56561764"/>
    <w:rsid w:val="56B247E4"/>
    <w:rsid w:val="56F92846"/>
    <w:rsid w:val="5712706A"/>
    <w:rsid w:val="5725086A"/>
    <w:rsid w:val="5735569F"/>
    <w:rsid w:val="576724ED"/>
    <w:rsid w:val="576B17B6"/>
    <w:rsid w:val="576F4E72"/>
    <w:rsid w:val="578215FD"/>
    <w:rsid w:val="585844FD"/>
    <w:rsid w:val="586B76C2"/>
    <w:rsid w:val="58E173CD"/>
    <w:rsid w:val="5966741E"/>
    <w:rsid w:val="599154FE"/>
    <w:rsid w:val="59B168E2"/>
    <w:rsid w:val="5AF52627"/>
    <w:rsid w:val="5BC76F13"/>
    <w:rsid w:val="5BED775E"/>
    <w:rsid w:val="5C3C41E3"/>
    <w:rsid w:val="5C865BC7"/>
    <w:rsid w:val="5CE57268"/>
    <w:rsid w:val="5D8C1586"/>
    <w:rsid w:val="5D8F1753"/>
    <w:rsid w:val="5DA65EFA"/>
    <w:rsid w:val="5DF272AD"/>
    <w:rsid w:val="5F016DFC"/>
    <w:rsid w:val="5F376BBC"/>
    <w:rsid w:val="5F6471FD"/>
    <w:rsid w:val="5F9304D9"/>
    <w:rsid w:val="608060E1"/>
    <w:rsid w:val="61136A17"/>
    <w:rsid w:val="624C6651"/>
    <w:rsid w:val="629422C9"/>
    <w:rsid w:val="62CD6B44"/>
    <w:rsid w:val="631611C1"/>
    <w:rsid w:val="6396536F"/>
    <w:rsid w:val="63C21EE1"/>
    <w:rsid w:val="648065F1"/>
    <w:rsid w:val="64D7381D"/>
    <w:rsid w:val="65085009"/>
    <w:rsid w:val="654D24C2"/>
    <w:rsid w:val="6573320B"/>
    <w:rsid w:val="657B5DDA"/>
    <w:rsid w:val="65A65279"/>
    <w:rsid w:val="67482AED"/>
    <w:rsid w:val="67E544F9"/>
    <w:rsid w:val="683A638D"/>
    <w:rsid w:val="687675E4"/>
    <w:rsid w:val="688E42B7"/>
    <w:rsid w:val="68A67F62"/>
    <w:rsid w:val="68B84664"/>
    <w:rsid w:val="68BD6AD3"/>
    <w:rsid w:val="68DF491C"/>
    <w:rsid w:val="69382AD6"/>
    <w:rsid w:val="693E059B"/>
    <w:rsid w:val="69CD77BD"/>
    <w:rsid w:val="69E25200"/>
    <w:rsid w:val="69E92EFD"/>
    <w:rsid w:val="6A095303"/>
    <w:rsid w:val="6A911D64"/>
    <w:rsid w:val="6AE67270"/>
    <w:rsid w:val="6B4A5721"/>
    <w:rsid w:val="6BF343C7"/>
    <w:rsid w:val="6CC46DC2"/>
    <w:rsid w:val="6D2F41F3"/>
    <w:rsid w:val="6DD67943"/>
    <w:rsid w:val="6E3D5571"/>
    <w:rsid w:val="6E732CC4"/>
    <w:rsid w:val="6E8E2194"/>
    <w:rsid w:val="6EAC66B8"/>
    <w:rsid w:val="6F00762E"/>
    <w:rsid w:val="6F1C3F1A"/>
    <w:rsid w:val="6F1F535B"/>
    <w:rsid w:val="6F3C2C1C"/>
    <w:rsid w:val="6F4656AB"/>
    <w:rsid w:val="6F7A21F2"/>
    <w:rsid w:val="6F96629E"/>
    <w:rsid w:val="6FA71DBC"/>
    <w:rsid w:val="6FAB4007"/>
    <w:rsid w:val="701D640C"/>
    <w:rsid w:val="70313C65"/>
    <w:rsid w:val="70424E0E"/>
    <w:rsid w:val="716A417E"/>
    <w:rsid w:val="725A4828"/>
    <w:rsid w:val="7297468D"/>
    <w:rsid w:val="72C77433"/>
    <w:rsid w:val="73280AA9"/>
    <w:rsid w:val="741E6CC4"/>
    <w:rsid w:val="74245119"/>
    <w:rsid w:val="742F33E1"/>
    <w:rsid w:val="748C3843"/>
    <w:rsid w:val="759077D0"/>
    <w:rsid w:val="759D6F04"/>
    <w:rsid w:val="75E11055"/>
    <w:rsid w:val="76470325"/>
    <w:rsid w:val="765D4390"/>
    <w:rsid w:val="76C53533"/>
    <w:rsid w:val="76FE4FA3"/>
    <w:rsid w:val="777D6AC4"/>
    <w:rsid w:val="779C50F7"/>
    <w:rsid w:val="78BE1FA4"/>
    <w:rsid w:val="78FA4568"/>
    <w:rsid w:val="795D662A"/>
    <w:rsid w:val="79645362"/>
    <w:rsid w:val="79845312"/>
    <w:rsid w:val="79897FE5"/>
    <w:rsid w:val="799C1155"/>
    <w:rsid w:val="79A4470B"/>
    <w:rsid w:val="79C505D8"/>
    <w:rsid w:val="7A2B7F7C"/>
    <w:rsid w:val="7A6648DE"/>
    <w:rsid w:val="7A9F24BA"/>
    <w:rsid w:val="7ABA0AE5"/>
    <w:rsid w:val="7AD54B92"/>
    <w:rsid w:val="7B8051E5"/>
    <w:rsid w:val="7C1C208B"/>
    <w:rsid w:val="7C2B0D09"/>
    <w:rsid w:val="7C854FCE"/>
    <w:rsid w:val="7C8A45E3"/>
    <w:rsid w:val="7CC321BF"/>
    <w:rsid w:val="7CC7169E"/>
    <w:rsid w:val="7DFC1166"/>
    <w:rsid w:val="7E89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basedOn w:val="1"/>
    <w:next w:val="1"/>
    <w:qFormat/>
    <w:uiPriority w:val="0"/>
    <w:pPr>
      <w:keepNext/>
      <w:numPr>
        <w:ilvl w:val="0"/>
        <w:numId w:val="1"/>
      </w:numPr>
      <w:pBdr>
        <w:top w:val="single" w:color="auto" w:sz="12" w:space="1"/>
      </w:pBdr>
      <w:spacing w:before="240"/>
      <w:outlineLvl w:val="0"/>
    </w:pPr>
    <w:rPr>
      <w:rFonts w:ascii="Arial" w:hAnsi="Arial"/>
      <w:sz w:val="28"/>
    </w:rPr>
  </w:style>
  <w:style w:type="paragraph" w:styleId="5">
    <w:name w:val="heading 2"/>
    <w:basedOn w:val="4"/>
    <w:next w:val="1"/>
    <w:qFormat/>
    <w:uiPriority w:val="0"/>
    <w:pPr>
      <w:numPr>
        <w:ilvl w:val="1"/>
      </w:numPr>
      <w:spacing w:before="180"/>
      <w:outlineLvl w:val="1"/>
    </w:pPr>
    <w:rPr>
      <w:sz w:val="24"/>
    </w:rPr>
  </w:style>
  <w:style w:type="paragraph" w:styleId="6">
    <w:name w:val="heading 3"/>
    <w:basedOn w:val="5"/>
    <w:next w:val="1"/>
    <w:qFormat/>
    <w:uiPriority w:val="0"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7">
    <w:name w:val="heading 4"/>
    <w:basedOn w:val="6"/>
    <w:next w:val="1"/>
    <w:qFormat/>
    <w:uiPriority w:val="0"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8">
    <w:name w:val="heading 5"/>
    <w:basedOn w:val="7"/>
    <w:next w:val="1"/>
    <w:qFormat/>
    <w:uiPriority w:val="0"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9">
    <w:name w:val="heading 6"/>
    <w:basedOn w:val="1"/>
    <w:next w:val="1"/>
    <w:qFormat/>
    <w:uiPriority w:val="0"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10">
    <w:name w:val="heading 7"/>
    <w:basedOn w:val="1"/>
    <w:next w:val="1"/>
    <w:qFormat/>
    <w:uiPriority w:val="0"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11">
    <w:name w:val="heading 8"/>
    <w:basedOn w:val="1"/>
    <w:next w:val="1"/>
    <w:qFormat/>
    <w:uiPriority w:val="0"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12">
    <w:name w:val="heading 9"/>
    <w:basedOn w:val="1"/>
    <w:next w:val="1"/>
    <w:qFormat/>
    <w:uiPriority w:val="0"/>
    <w:pPr>
      <w:keepNext/>
      <w:numPr>
        <w:ilvl w:val="8"/>
        <w:numId w:val="1"/>
      </w:numPr>
      <w:spacing w:before="180" w:after="120"/>
      <w:outlineLvl w:val="8"/>
    </w:pPr>
    <w:rPr>
      <w:rFonts w:ascii="Arial" w:hAnsi="Arial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Arial" w:hAnsi="Arial" w:cs="Arial"/>
      <w:color w:val="FF0000"/>
    </w:rPr>
  </w:style>
  <w:style w:type="paragraph" w:styleId="3">
    <w:name w:val="Title"/>
    <w:basedOn w:val="1"/>
    <w:next w:val="1"/>
    <w:qFormat/>
    <w:uiPriority w:val="0"/>
    <w:pPr>
      <w:spacing w:before="120"/>
      <w:jc w:val="center"/>
      <w:outlineLvl w:val="0"/>
    </w:pPr>
    <w:rPr>
      <w:b/>
      <w:sz w:val="32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annotation text"/>
    <w:basedOn w:val="1"/>
    <w:link w:val="5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15">
    <w:name w:val="List 2"/>
    <w:basedOn w:val="1"/>
    <w:qFormat/>
    <w:uiPriority w:val="0"/>
    <w:pPr>
      <w:ind w:left="851"/>
    </w:pPr>
  </w:style>
  <w:style w:type="paragraph" w:styleId="16">
    <w:name w:val="Balloon Text"/>
    <w:basedOn w:val="1"/>
    <w:link w:val="34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7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8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9">
    <w:name w:val="List Number 5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eastAsiaTheme="minorEastAsia"/>
    </w:rPr>
  </w:style>
  <w:style w:type="paragraph" w:styleId="20">
    <w:name w:val="List"/>
    <w:basedOn w:val="1"/>
    <w:qFormat/>
    <w:uiPriority w:val="0"/>
    <w:pPr>
      <w:ind w:left="568" w:hanging="284"/>
    </w:pPr>
  </w:style>
  <w:style w:type="paragraph" w:styleId="21">
    <w:name w:val="Normal (Web)"/>
    <w:basedOn w:val="1"/>
    <w:semiHidden/>
    <w:unhideWhenUsed/>
    <w:qFormat/>
    <w:uiPriority w:val="99"/>
    <w:pPr>
      <w:spacing w:beforeAutospacing="1" w:after="0" w:afterAutospacing="1"/>
      <w:jc w:val="left"/>
    </w:pPr>
    <w:rPr>
      <w:sz w:val="24"/>
      <w:lang w:val="en-US" w:eastAsia="zh-CN"/>
    </w:rPr>
  </w:style>
  <w:style w:type="paragraph" w:styleId="22">
    <w:name w:val="annotation subject"/>
    <w:basedOn w:val="14"/>
    <w:next w:val="14"/>
    <w:link w:val="54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24">
    <w:name w:val="Table Grid"/>
    <w:basedOn w:val="2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page number"/>
    <w:basedOn w:val="25"/>
    <w:semiHidden/>
    <w:qFormat/>
    <w:uiPriority w:val="0"/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semiHidden/>
    <w:qFormat/>
    <w:uiPriority w:val="0"/>
    <w:rPr>
      <w:sz w:val="16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3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5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6"/>
      </w:numPr>
      <w:tabs>
        <w:tab w:val="left" w:pos="0"/>
      </w:tabs>
    </w:pPr>
    <w:rPr>
      <w:color w:val="FF0000"/>
    </w:rPr>
  </w:style>
  <w:style w:type="character" w:customStyle="1" w:styleId="34">
    <w:name w:val="批注框文本 字符"/>
    <w:link w:val="16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styleId="35">
    <w:name w:val="List Paragraph"/>
    <w:basedOn w:val="1"/>
    <w:link w:val="59"/>
    <w:qFormat/>
    <w:uiPriority w:val="34"/>
    <w:pPr>
      <w:ind w:left="720"/>
    </w:pPr>
  </w:style>
  <w:style w:type="character" w:customStyle="1" w:styleId="36">
    <w:name w:val="不明显参考1"/>
    <w:qFormat/>
    <w:uiPriority w:val="31"/>
    <w:rPr>
      <w:smallCaps/>
      <w:color w:val="5A5A5A"/>
    </w:rPr>
  </w:style>
  <w:style w:type="paragraph" w:customStyle="1" w:styleId="37">
    <w:name w:val="References"/>
    <w:basedOn w:val="1"/>
    <w:link w:val="38"/>
    <w:qFormat/>
    <w:uiPriority w:val="0"/>
    <w:pPr>
      <w:numPr>
        <w:ilvl w:val="0"/>
        <w:numId w:val="7"/>
      </w:numPr>
      <w:spacing w:after="60"/>
      <w:ind w:left="357" w:hanging="357"/>
    </w:pPr>
  </w:style>
  <w:style w:type="character" w:customStyle="1" w:styleId="38">
    <w:name w:val="References 字符"/>
    <w:link w:val="37"/>
    <w:qFormat/>
    <w:uiPriority w:val="0"/>
    <w:rPr>
      <w:lang w:val="en-GB" w:eastAsia="en-US"/>
    </w:rPr>
  </w:style>
  <w:style w:type="paragraph" w:styleId="39">
    <w:name w:val="Quote"/>
    <w:basedOn w:val="1"/>
    <w:next w:val="1"/>
    <w:link w:val="40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40">
    <w:name w:val="引用 字符"/>
    <w:link w:val="39"/>
    <w:qFormat/>
    <w:uiPriority w:val="29"/>
    <w:rPr>
      <w:i/>
      <w:iCs/>
      <w:color w:val="404040"/>
      <w:lang w:val="en-GB" w:eastAsia="en-US"/>
    </w:rPr>
  </w:style>
  <w:style w:type="character" w:customStyle="1" w:styleId="41">
    <w:name w:val="书籍标题1"/>
    <w:qFormat/>
    <w:uiPriority w:val="33"/>
    <w:rPr>
      <w:b/>
      <w:bCs/>
      <w:i/>
      <w:iCs/>
      <w:spacing w:val="5"/>
    </w:rPr>
  </w:style>
  <w:style w:type="paragraph" w:styleId="4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3">
    <w:name w:val="B1"/>
    <w:basedOn w:val="20"/>
    <w:link w:val="45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paragraph" w:customStyle="1" w:styleId="44">
    <w:name w:val="B2"/>
    <w:basedOn w:val="15"/>
    <w:link w:val="46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character" w:customStyle="1" w:styleId="45">
    <w:name w:val="B1 Char1"/>
    <w:link w:val="43"/>
    <w:qFormat/>
    <w:uiPriority w:val="0"/>
    <w:rPr>
      <w:lang w:val="en-GB" w:eastAsia="en-GB"/>
    </w:rPr>
  </w:style>
  <w:style w:type="character" w:customStyle="1" w:styleId="46">
    <w:name w:val="B2 Char"/>
    <w:link w:val="44"/>
    <w:qFormat/>
    <w:uiPriority w:val="0"/>
    <w:rPr>
      <w:lang w:val="en-GB" w:eastAsia="en-GB"/>
    </w:rPr>
  </w:style>
  <w:style w:type="paragraph" w:customStyle="1" w:styleId="47">
    <w:name w:val="item"/>
    <w:basedOn w:val="1"/>
    <w:qFormat/>
    <w:uiPriority w:val="0"/>
    <w:pPr>
      <w:numPr>
        <w:ilvl w:val="0"/>
        <w:numId w:val="8"/>
      </w:numPr>
      <w:tabs>
        <w:tab w:val="clear" w:pos="360"/>
      </w:tabs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eastAsia="MS Mincho"/>
      <w:lang w:eastAsia="en-GB"/>
    </w:rPr>
  </w:style>
  <w:style w:type="paragraph" w:customStyle="1" w:styleId="48">
    <w:name w:val="List Paragraph1"/>
    <w:basedOn w:val="1"/>
    <w:link w:val="52"/>
    <w:qFormat/>
    <w:uiPriority w:val="0"/>
    <w:pPr>
      <w:spacing w:after="0"/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49">
    <w:name w:val="B3"/>
    <w:basedOn w:val="13"/>
    <w:link w:val="50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character" w:customStyle="1" w:styleId="50">
    <w:name w:val="B3 Char"/>
    <w:basedOn w:val="25"/>
    <w:link w:val="49"/>
    <w:qFormat/>
    <w:uiPriority w:val="0"/>
    <w:rPr>
      <w:lang w:val="en-GB" w:eastAsia="en-GB"/>
    </w:rPr>
  </w:style>
  <w:style w:type="paragraph" w:customStyle="1" w:styleId="51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Theme="minorEastAsia"/>
      <w:lang w:eastAsia="en-GB"/>
    </w:rPr>
  </w:style>
  <w:style w:type="character" w:customStyle="1" w:styleId="52">
    <w:name w:val="リスト段落 (文字)"/>
    <w:link w:val="48"/>
    <w:qFormat/>
    <w:uiPriority w:val="34"/>
    <w:rPr>
      <w:rFonts w:eastAsia="Times New Roman"/>
      <w:sz w:val="24"/>
      <w:szCs w:val="24"/>
    </w:rPr>
  </w:style>
  <w:style w:type="character" w:customStyle="1" w:styleId="53">
    <w:name w:val="批注文字 字符"/>
    <w:basedOn w:val="25"/>
    <w:link w:val="14"/>
    <w:semiHidden/>
    <w:qFormat/>
    <w:uiPriority w:val="0"/>
    <w:rPr>
      <w:rFonts w:ascii="Arial" w:hAnsi="Arial" w:eastAsia="宋体"/>
      <w:lang w:val="en-GB" w:eastAsia="en-US"/>
    </w:rPr>
  </w:style>
  <w:style w:type="character" w:customStyle="1" w:styleId="54">
    <w:name w:val="批注主题 字符"/>
    <w:basedOn w:val="53"/>
    <w:link w:val="22"/>
    <w:semiHidden/>
    <w:qFormat/>
    <w:uiPriority w:val="99"/>
    <w:rPr>
      <w:rFonts w:ascii="Arial" w:hAnsi="Arial" w:eastAsia="宋体"/>
      <w:b/>
      <w:bCs/>
      <w:lang w:val="en-GB" w:eastAsia="en-US"/>
    </w:rPr>
  </w:style>
  <w:style w:type="character" w:customStyle="1" w:styleId="55">
    <w:name w:val="B1 Zchn"/>
    <w:qFormat/>
    <w:uiPriority w:val="0"/>
    <w:rPr>
      <w:lang w:eastAsia="en-US"/>
    </w:rPr>
  </w:style>
  <w:style w:type="paragraph" w:customStyle="1" w:styleId="56">
    <w:name w:val="enumlev2"/>
    <w:basedOn w:val="1"/>
    <w:qFormat/>
    <w:uiPriority w:val="0"/>
    <w:pPr>
      <w:numPr>
        <w:ilvl w:val="0"/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lang w:val="en-US" w:eastAsia="en-GB"/>
    </w:rPr>
  </w:style>
  <w:style w:type="paragraph" w:customStyle="1" w:styleId="57">
    <w:name w:val="text intend 1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val="en-US" w:eastAsia="zh-CN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列表段落 字符"/>
    <w:link w:val="35"/>
    <w:qFormat/>
    <w:uiPriority w:val="34"/>
    <w:rPr>
      <w:rFonts w:eastAsia="宋体"/>
      <w:lang w:val="en-GB" w:eastAsia="en-US"/>
    </w:rPr>
  </w:style>
  <w:style w:type="paragraph" w:customStyle="1" w:styleId="60">
    <w:name w:val="List Paragraph2"/>
    <w:basedOn w:val="1"/>
    <w:qFormat/>
    <w:uiPriority w:val="0"/>
    <w:pPr>
      <w:spacing w:before="100" w:beforeAutospacing="1" w:after="100" w:afterAutospacing="1"/>
      <w:ind w:left="840" w:leftChars="400"/>
      <w:jc w:val="left"/>
    </w:pPr>
    <w:rPr>
      <w:rFonts w:eastAsia="MS Gothic"/>
      <w:sz w:val="24"/>
      <w:szCs w:val="24"/>
      <w:lang w:val="en-US" w:eastAsia="zh-CN"/>
    </w:rPr>
  </w:style>
  <w:style w:type="paragraph" w:customStyle="1" w:styleId="61">
    <w:name w:val="B4"/>
    <w:basedOn w:val="1"/>
    <w:link w:val="68"/>
    <w:qFormat/>
    <w:uiPriority w:val="0"/>
    <w:pPr>
      <w:ind w:left="1418" w:hanging="284"/>
      <w:jc w:val="left"/>
    </w:pPr>
  </w:style>
  <w:style w:type="paragraph" w:customStyle="1" w:styleId="62">
    <w:name w:val="B5"/>
    <w:basedOn w:val="1"/>
    <w:link w:val="69"/>
    <w:qFormat/>
    <w:uiPriority w:val="0"/>
    <w:pPr>
      <w:ind w:left="1702" w:hanging="284"/>
      <w:jc w:val="left"/>
    </w:pPr>
  </w:style>
  <w:style w:type="paragraph" w:customStyle="1" w:styleId="63">
    <w:name w:val="bullet1"/>
    <w:basedOn w:val="1"/>
    <w:qFormat/>
    <w:uiPriority w:val="0"/>
    <w:pPr>
      <w:numPr>
        <w:ilvl w:val="0"/>
        <w:numId w:val="11"/>
      </w:numPr>
      <w:spacing w:after="0"/>
      <w:jc w:val="left"/>
    </w:pPr>
    <w:rPr>
      <w:rFonts w:ascii="Calibri" w:hAnsi="Calibri"/>
      <w:kern w:val="2"/>
      <w:sz w:val="24"/>
      <w:szCs w:val="24"/>
      <w:lang w:eastAsia="zh-CN"/>
    </w:rPr>
  </w:style>
  <w:style w:type="paragraph" w:customStyle="1" w:styleId="64">
    <w:name w:val="bullet2"/>
    <w:basedOn w:val="1"/>
    <w:qFormat/>
    <w:uiPriority w:val="0"/>
    <w:pPr>
      <w:numPr>
        <w:ilvl w:val="1"/>
        <w:numId w:val="11"/>
      </w:numPr>
      <w:spacing w:after="0"/>
      <w:jc w:val="left"/>
    </w:pPr>
    <w:rPr>
      <w:rFonts w:ascii="Times" w:hAnsi="Times"/>
      <w:kern w:val="2"/>
      <w:sz w:val="24"/>
      <w:szCs w:val="24"/>
      <w:lang w:eastAsia="zh-CN"/>
    </w:rPr>
  </w:style>
  <w:style w:type="paragraph" w:customStyle="1" w:styleId="65">
    <w:name w:val="bullet3"/>
    <w:basedOn w:val="1"/>
    <w:qFormat/>
    <w:uiPriority w:val="0"/>
    <w:pPr>
      <w:numPr>
        <w:ilvl w:val="2"/>
        <w:numId w:val="11"/>
      </w:numPr>
      <w:spacing w:after="0"/>
      <w:jc w:val="left"/>
    </w:pPr>
    <w:rPr>
      <w:rFonts w:ascii="Times" w:hAnsi="Times" w:eastAsia="Batang"/>
      <w:szCs w:val="24"/>
    </w:rPr>
  </w:style>
  <w:style w:type="paragraph" w:customStyle="1" w:styleId="66">
    <w:name w:val="bullet4"/>
    <w:basedOn w:val="1"/>
    <w:qFormat/>
    <w:uiPriority w:val="0"/>
    <w:pPr>
      <w:numPr>
        <w:ilvl w:val="3"/>
        <w:numId w:val="11"/>
      </w:numPr>
      <w:spacing w:after="0"/>
      <w:jc w:val="left"/>
    </w:pPr>
    <w:rPr>
      <w:rFonts w:ascii="Times" w:hAnsi="Times" w:eastAsia="Batang"/>
      <w:szCs w:val="24"/>
    </w:rPr>
  </w:style>
  <w:style w:type="paragraph" w:customStyle="1" w:styleId="67">
    <w:name w:val="Spec Text Num"/>
    <w:basedOn w:val="1"/>
    <w:qFormat/>
    <w:uiPriority w:val="0"/>
    <w:pPr>
      <w:numPr>
        <w:ilvl w:val="0"/>
        <w:numId w:val="12"/>
      </w:numPr>
      <w:tabs>
        <w:tab w:val="left" w:pos="851"/>
        <w:tab w:val="clear" w:pos="1134"/>
      </w:tabs>
      <w:spacing w:after="0"/>
      <w:ind w:left="851" w:hanging="851"/>
      <w:jc w:val="left"/>
    </w:pPr>
    <w:rPr>
      <w:rFonts w:eastAsia="MS Mincho"/>
      <w:sz w:val="24"/>
      <w:szCs w:val="24"/>
      <w:lang w:val="en-US" w:eastAsia="ja-JP"/>
    </w:rPr>
  </w:style>
  <w:style w:type="character" w:customStyle="1" w:styleId="68">
    <w:name w:val="B4 Char"/>
    <w:link w:val="61"/>
    <w:qFormat/>
    <w:uiPriority w:val="0"/>
    <w:rPr>
      <w:rFonts w:eastAsia="宋体"/>
      <w:lang w:val="en-GB" w:eastAsia="en-US"/>
    </w:rPr>
  </w:style>
  <w:style w:type="character" w:customStyle="1" w:styleId="69">
    <w:name w:val="B5 Char"/>
    <w:link w:val="62"/>
    <w:qFormat/>
    <w:uiPriority w:val="0"/>
    <w:rPr>
      <w:rFonts w:eastAsia="宋体"/>
      <w:lang w:val="en-GB" w:eastAsia="en-US"/>
    </w:rPr>
  </w:style>
  <w:style w:type="paragraph" w:customStyle="1" w:styleId="7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71">
    <w:name w:val="TAH"/>
    <w:basedOn w:val="72"/>
    <w:link w:val="76"/>
    <w:qFormat/>
    <w:uiPriority w:val="0"/>
    <w:rPr>
      <w:b/>
    </w:rPr>
  </w:style>
  <w:style w:type="paragraph" w:customStyle="1" w:styleId="72">
    <w:name w:val="TAC"/>
    <w:basedOn w:val="1"/>
    <w:link w:val="7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Theme="minorEastAsia"/>
      <w:sz w:val="18"/>
    </w:rPr>
  </w:style>
  <w:style w:type="paragraph" w:customStyle="1" w:styleId="73">
    <w:name w:val="TH"/>
    <w:basedOn w:val="1"/>
    <w:link w:val="7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Theme="minorEastAsia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75">
    <w:name w:val="TAC Char"/>
    <w:link w:val="72"/>
    <w:qFormat/>
    <w:uiPriority w:val="0"/>
    <w:rPr>
      <w:rFonts w:ascii="Arial" w:hAnsi="Arial"/>
      <w:sz w:val="18"/>
      <w:lang w:val="en-GB" w:eastAsia="en-US"/>
    </w:rPr>
  </w:style>
  <w:style w:type="character" w:customStyle="1" w:styleId="76">
    <w:name w:val="TAH Car"/>
    <w:link w:val="7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修订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78">
    <w:name w:val="修订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9">
    <w:name w:val="apple-converted-space"/>
    <w:basedOn w:val="25"/>
    <w:qFormat/>
    <w:uiPriority w:val="0"/>
  </w:style>
  <w:style w:type="paragraph" w:customStyle="1" w:styleId="80">
    <w:name w:val="0 Main text"/>
    <w:basedOn w:val="1"/>
    <w:qFormat/>
    <w:uiPriority w:val="0"/>
    <w:pPr>
      <w:spacing w:after="120" w:line="276" w:lineRule="auto"/>
      <w:jc w:val="both"/>
    </w:pPr>
    <w:rPr>
      <w:rFonts w:cs="Batang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8EF96-059D-4917-9741-076D8BFDA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14</Pages>
  <Words>7366</Words>
  <Characters>41990</Characters>
  <Lines>349</Lines>
  <Paragraphs>98</Paragraphs>
  <TotalTime>19</TotalTime>
  <ScaleCrop>false</ScaleCrop>
  <LinksUpToDate>false</LinksUpToDate>
  <CharactersWithSpaces>49258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2022-10-06T13:14:00Z</dcterms:created>
  <dc:creator>ZTE Corporation</dc:creator>
  <cp:lastModifiedBy>ZTE - Jing Shi</cp:lastModifiedBy>
  <cp:lastPrinted>2002-04-23T01:10:00Z</cp:lastPrinted>
  <dcterms:modified xsi:type="dcterms:W3CDTF">2026-01-30T03:39:02Z</dcterms:modified>
  <cp:revision>345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